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F0" w:rsidRPr="00015EF7" w:rsidRDefault="00AC2BF0" w:rsidP="004735F4">
      <w:pPr>
        <w:ind w:right="2126"/>
        <w:rPr>
          <w:rFonts w:ascii="Verdana" w:hAnsi="Verdana"/>
        </w:rPr>
      </w:pPr>
    </w:p>
    <w:p w:rsidR="00AC2BF0" w:rsidRPr="00015EF7" w:rsidRDefault="00AC2BF0" w:rsidP="004735F4">
      <w:pPr>
        <w:ind w:right="2126"/>
        <w:rPr>
          <w:rFonts w:ascii="Verdana" w:hAnsi="Verdana"/>
        </w:rPr>
      </w:pPr>
    </w:p>
    <w:p w:rsidR="00225B0E" w:rsidRDefault="00225B0E" w:rsidP="00225B0E">
      <w:pPr>
        <w:ind w:right="2126"/>
        <w:rPr>
          <w:rFonts w:ascii="Verdana" w:hAnsi="Verdana"/>
        </w:rPr>
      </w:pPr>
    </w:p>
    <w:p w:rsidR="00AC2BF0" w:rsidRPr="00015EF7" w:rsidRDefault="00AC2BF0" w:rsidP="004735F4">
      <w:pPr>
        <w:ind w:right="2126"/>
        <w:rPr>
          <w:rFonts w:ascii="Verdana" w:hAnsi="Verdana"/>
        </w:rPr>
      </w:pPr>
    </w:p>
    <w:p w:rsidR="005F7102" w:rsidRPr="00F542CD" w:rsidRDefault="00F06E76" w:rsidP="00B957C3">
      <w:pPr>
        <w:ind w:right="1701"/>
        <w:rPr>
          <w:rFonts w:ascii="Verdana" w:hAnsi="Verdana"/>
          <w:b/>
          <w:sz w:val="36"/>
          <w:szCs w:val="36"/>
        </w:rPr>
      </w:pPr>
      <w:r>
        <w:rPr>
          <w:rFonts w:ascii="Verdana" w:hAnsi="Verdana"/>
          <w:b/>
          <w:sz w:val="36"/>
          <w:szCs w:val="36"/>
        </w:rPr>
        <w:t>Shifting E</w:t>
      </w:r>
      <w:r w:rsidR="00D4160A">
        <w:rPr>
          <w:rFonts w:ascii="Verdana" w:hAnsi="Verdana"/>
          <w:b/>
          <w:sz w:val="36"/>
          <w:szCs w:val="36"/>
        </w:rPr>
        <w:t xml:space="preserve">conomic </w:t>
      </w:r>
      <w:r>
        <w:rPr>
          <w:rFonts w:ascii="Verdana" w:hAnsi="Verdana"/>
          <w:b/>
          <w:sz w:val="36"/>
          <w:szCs w:val="36"/>
        </w:rPr>
        <w:t>M</w:t>
      </w:r>
      <w:r w:rsidR="00D4160A">
        <w:rPr>
          <w:rFonts w:ascii="Verdana" w:hAnsi="Verdana"/>
          <w:b/>
          <w:sz w:val="36"/>
          <w:szCs w:val="36"/>
        </w:rPr>
        <w:t xml:space="preserve">ass </w:t>
      </w:r>
      <w:r>
        <w:rPr>
          <w:rFonts w:ascii="Verdana" w:hAnsi="Verdana"/>
          <w:b/>
          <w:sz w:val="36"/>
          <w:szCs w:val="36"/>
        </w:rPr>
        <w:t>T</w:t>
      </w:r>
      <w:r w:rsidR="00D4160A">
        <w:rPr>
          <w:rFonts w:ascii="Verdana" w:hAnsi="Verdana"/>
          <w:b/>
          <w:sz w:val="36"/>
          <w:szCs w:val="36"/>
        </w:rPr>
        <w:t xml:space="preserve">owards </w:t>
      </w:r>
      <w:r>
        <w:rPr>
          <w:rFonts w:ascii="Verdana" w:hAnsi="Verdana"/>
          <w:b/>
          <w:sz w:val="36"/>
          <w:szCs w:val="36"/>
        </w:rPr>
        <w:t>E</w:t>
      </w:r>
      <w:r w:rsidR="00D4160A">
        <w:rPr>
          <w:rFonts w:ascii="Verdana" w:hAnsi="Verdana"/>
          <w:b/>
          <w:sz w:val="36"/>
          <w:szCs w:val="36"/>
        </w:rPr>
        <w:t xml:space="preserve">merging </w:t>
      </w:r>
      <w:r>
        <w:rPr>
          <w:rFonts w:ascii="Verdana" w:hAnsi="Verdana"/>
          <w:b/>
          <w:sz w:val="36"/>
          <w:szCs w:val="36"/>
        </w:rPr>
        <w:t>E</w:t>
      </w:r>
      <w:r w:rsidR="00D4160A">
        <w:rPr>
          <w:rFonts w:ascii="Verdana" w:hAnsi="Verdana"/>
          <w:b/>
          <w:sz w:val="36"/>
          <w:szCs w:val="36"/>
        </w:rPr>
        <w:t xml:space="preserve">conomies </w:t>
      </w:r>
      <w:r>
        <w:rPr>
          <w:rFonts w:ascii="Verdana" w:hAnsi="Verdana"/>
          <w:b/>
          <w:sz w:val="36"/>
          <w:szCs w:val="36"/>
        </w:rPr>
        <w:t>S</w:t>
      </w:r>
      <w:r w:rsidR="00D4160A">
        <w:rPr>
          <w:rFonts w:ascii="Verdana" w:hAnsi="Verdana"/>
          <w:b/>
          <w:sz w:val="36"/>
          <w:szCs w:val="36"/>
        </w:rPr>
        <w:t xml:space="preserve">hown in </w:t>
      </w:r>
      <w:bookmarkStart w:id="0" w:name="_GoBack"/>
      <w:bookmarkEnd w:id="0"/>
      <w:r>
        <w:rPr>
          <w:rFonts w:ascii="Verdana" w:hAnsi="Verdana"/>
          <w:b/>
          <w:sz w:val="36"/>
          <w:szCs w:val="36"/>
        </w:rPr>
        <w:t>G</w:t>
      </w:r>
      <w:r w:rsidR="00D4160A">
        <w:rPr>
          <w:rFonts w:ascii="Verdana" w:hAnsi="Verdana"/>
          <w:b/>
          <w:sz w:val="36"/>
          <w:szCs w:val="36"/>
        </w:rPr>
        <w:t xml:space="preserve">lobal </w:t>
      </w:r>
      <w:r>
        <w:rPr>
          <w:rFonts w:ascii="Verdana" w:hAnsi="Verdana"/>
          <w:b/>
          <w:sz w:val="36"/>
          <w:szCs w:val="36"/>
        </w:rPr>
        <w:t>F</w:t>
      </w:r>
      <w:r w:rsidR="00D4160A">
        <w:rPr>
          <w:rFonts w:ascii="Verdana" w:hAnsi="Verdana"/>
          <w:b/>
          <w:sz w:val="36"/>
          <w:szCs w:val="36"/>
        </w:rPr>
        <w:t xml:space="preserve">reight </w:t>
      </w:r>
      <w:r>
        <w:rPr>
          <w:rFonts w:ascii="Verdana" w:hAnsi="Verdana"/>
          <w:b/>
          <w:sz w:val="36"/>
          <w:szCs w:val="36"/>
        </w:rPr>
        <w:t>D</w:t>
      </w:r>
      <w:r w:rsidR="00D4160A">
        <w:rPr>
          <w:rFonts w:ascii="Verdana" w:hAnsi="Verdana"/>
          <w:b/>
          <w:sz w:val="36"/>
          <w:szCs w:val="36"/>
        </w:rPr>
        <w:t>ata</w:t>
      </w:r>
    </w:p>
    <w:p w:rsidR="005F7102" w:rsidRDefault="005F7102" w:rsidP="005F7102">
      <w:pPr>
        <w:pStyle w:val="Default"/>
        <w:tabs>
          <w:tab w:val="left" w:pos="9214"/>
        </w:tabs>
        <w:ind w:left="142" w:right="2126"/>
        <w:rPr>
          <w:rFonts w:ascii="Verdana" w:hAnsi="Verdana"/>
          <w:b/>
          <w:noProof/>
          <w:sz w:val="20"/>
          <w:szCs w:val="20"/>
          <w:lang w:eastAsia="zh-TW"/>
        </w:rPr>
      </w:pPr>
    </w:p>
    <w:p w:rsidR="00C90CF1" w:rsidRPr="00136ACB" w:rsidRDefault="00C90CF1" w:rsidP="00C90CF1">
      <w:pPr>
        <w:ind w:right="2126"/>
        <w:rPr>
          <w:rFonts w:ascii="Verdana" w:hAnsi="Verdana"/>
          <w:b/>
          <w:sz w:val="20"/>
          <w:szCs w:val="20"/>
        </w:rPr>
      </w:pPr>
      <w:r w:rsidRPr="00136ACB">
        <w:rPr>
          <w:rFonts w:ascii="Verdana" w:hAnsi="Verdana"/>
          <w:b/>
          <w:sz w:val="20"/>
          <w:szCs w:val="20"/>
        </w:rPr>
        <w:t xml:space="preserve">The latest update of global freight data collected by the </w:t>
      </w:r>
      <w:r w:rsidR="00186779">
        <w:rPr>
          <w:rFonts w:ascii="Verdana" w:hAnsi="Verdana"/>
          <w:b/>
          <w:sz w:val="20"/>
          <w:szCs w:val="20"/>
        </w:rPr>
        <w:t>I</w:t>
      </w:r>
      <w:r w:rsidRPr="00136ACB">
        <w:rPr>
          <w:rFonts w:ascii="Verdana" w:hAnsi="Verdana"/>
          <w:b/>
          <w:sz w:val="20"/>
          <w:szCs w:val="20"/>
        </w:rPr>
        <w:t xml:space="preserve">nternational Transport Forum at the OECD </w:t>
      </w:r>
      <w:r w:rsidR="00EB499F">
        <w:rPr>
          <w:rFonts w:ascii="Verdana" w:hAnsi="Verdana"/>
          <w:b/>
          <w:sz w:val="20"/>
          <w:szCs w:val="20"/>
        </w:rPr>
        <w:t xml:space="preserve">through </w:t>
      </w:r>
      <w:r w:rsidR="00E6565D">
        <w:rPr>
          <w:rFonts w:ascii="Verdana" w:hAnsi="Verdana"/>
          <w:b/>
          <w:sz w:val="20"/>
          <w:szCs w:val="20"/>
        </w:rPr>
        <w:t xml:space="preserve">September </w:t>
      </w:r>
      <w:r w:rsidR="00F60818">
        <w:rPr>
          <w:rFonts w:ascii="Verdana" w:hAnsi="Verdana"/>
          <w:b/>
          <w:sz w:val="20"/>
          <w:szCs w:val="20"/>
        </w:rPr>
        <w:t>2</w:t>
      </w:r>
      <w:r w:rsidR="00EB499F">
        <w:rPr>
          <w:rFonts w:ascii="Verdana" w:hAnsi="Verdana"/>
          <w:b/>
          <w:sz w:val="20"/>
          <w:szCs w:val="20"/>
        </w:rPr>
        <w:t>01</w:t>
      </w:r>
      <w:r w:rsidR="00F60818">
        <w:rPr>
          <w:rFonts w:ascii="Verdana" w:hAnsi="Verdana"/>
          <w:b/>
          <w:sz w:val="20"/>
          <w:szCs w:val="20"/>
        </w:rPr>
        <w:t>3</w:t>
      </w:r>
      <w:r w:rsidR="001464D2">
        <w:rPr>
          <w:rFonts w:ascii="Verdana" w:hAnsi="Verdana"/>
          <w:b/>
          <w:sz w:val="20"/>
          <w:szCs w:val="20"/>
        </w:rPr>
        <w:t xml:space="preserve"> reinforce</w:t>
      </w:r>
      <w:r w:rsidR="00D4160A">
        <w:rPr>
          <w:rFonts w:ascii="Verdana" w:hAnsi="Verdana"/>
          <w:b/>
          <w:sz w:val="20"/>
          <w:szCs w:val="20"/>
        </w:rPr>
        <w:t>s</w:t>
      </w:r>
      <w:r w:rsidR="001464D2">
        <w:rPr>
          <w:rFonts w:ascii="Verdana" w:hAnsi="Verdana"/>
          <w:b/>
          <w:sz w:val="20"/>
          <w:szCs w:val="20"/>
        </w:rPr>
        <w:t xml:space="preserve"> the observation of a shift of economic mass to emerging economies</w:t>
      </w:r>
      <w:r w:rsidR="00EB499F">
        <w:rPr>
          <w:rFonts w:ascii="Verdana" w:hAnsi="Verdana"/>
          <w:b/>
          <w:sz w:val="20"/>
          <w:szCs w:val="20"/>
        </w:rPr>
        <w:t xml:space="preserve">: </w:t>
      </w:r>
    </w:p>
    <w:p w:rsidR="00442674" w:rsidRPr="005A18CB" w:rsidRDefault="005A5E28" w:rsidP="00442674">
      <w:pPr>
        <w:pStyle w:val="Default"/>
        <w:numPr>
          <w:ilvl w:val="0"/>
          <w:numId w:val="1"/>
        </w:numPr>
        <w:spacing w:after="240"/>
        <w:ind w:right="2119"/>
        <w:rPr>
          <w:rFonts w:ascii="Verdana" w:hAnsi="Verdana"/>
          <w:b/>
          <w:color w:val="auto"/>
          <w:sz w:val="20"/>
          <w:szCs w:val="20"/>
        </w:rPr>
      </w:pPr>
      <w:bookmarkStart w:id="1" w:name="OLE_LINK1"/>
      <w:bookmarkStart w:id="2" w:name="OLE_LINK2"/>
      <w:r>
        <w:rPr>
          <w:rFonts w:ascii="Verdana" w:hAnsi="Verdana"/>
          <w:b/>
          <w:sz w:val="20"/>
          <w:szCs w:val="20"/>
        </w:rPr>
        <w:t xml:space="preserve">USA and EU27 exports </w:t>
      </w:r>
      <w:r w:rsidR="001D55B5">
        <w:rPr>
          <w:rFonts w:ascii="Verdana" w:hAnsi="Verdana"/>
          <w:b/>
          <w:sz w:val="20"/>
          <w:szCs w:val="20"/>
        </w:rPr>
        <w:t>increase strongly and imports decline markedly, reflecting weak domestic demand and stronger performance of emerging economies</w:t>
      </w:r>
      <w:r w:rsidR="00330D58">
        <w:rPr>
          <w:rFonts w:ascii="Verdana" w:hAnsi="Verdana"/>
          <w:b/>
          <w:sz w:val="20"/>
          <w:szCs w:val="20"/>
        </w:rPr>
        <w:t>;</w:t>
      </w:r>
    </w:p>
    <w:p w:rsidR="00C66C3D" w:rsidRPr="00C66C3D" w:rsidRDefault="00E6565D" w:rsidP="00E6565D">
      <w:pPr>
        <w:pStyle w:val="Default"/>
        <w:numPr>
          <w:ilvl w:val="0"/>
          <w:numId w:val="1"/>
        </w:numPr>
        <w:spacing w:after="240"/>
        <w:ind w:right="2119"/>
        <w:rPr>
          <w:rFonts w:ascii="Verdana" w:hAnsi="Verdana"/>
          <w:b/>
          <w:color w:val="auto"/>
          <w:sz w:val="20"/>
          <w:szCs w:val="20"/>
        </w:rPr>
      </w:pPr>
      <w:r w:rsidRPr="00C7376D">
        <w:rPr>
          <w:rFonts w:ascii="Verdana" w:hAnsi="Verdana"/>
          <w:b/>
          <w:sz w:val="20"/>
          <w:szCs w:val="20"/>
          <w:lang w:val="en-US"/>
        </w:rPr>
        <w:t>EU external trade by air</w:t>
      </w:r>
      <w:r w:rsidR="00DD02AB" w:rsidRPr="00C7376D">
        <w:rPr>
          <w:rFonts w:ascii="Verdana" w:hAnsi="Verdana"/>
          <w:b/>
          <w:sz w:val="20"/>
          <w:szCs w:val="20"/>
          <w:lang w:val="en-US"/>
        </w:rPr>
        <w:t>, considered as a lead indicator,</w:t>
      </w:r>
      <w:r w:rsidRPr="00C7376D">
        <w:rPr>
          <w:rFonts w:ascii="Verdana" w:hAnsi="Verdana"/>
          <w:b/>
          <w:sz w:val="20"/>
          <w:szCs w:val="20"/>
          <w:lang w:val="en-US"/>
        </w:rPr>
        <w:t xml:space="preserve"> rebound</w:t>
      </w:r>
      <w:r w:rsidR="003D05CF" w:rsidRPr="00C7376D">
        <w:rPr>
          <w:rFonts w:ascii="Verdana" w:hAnsi="Verdana"/>
          <w:b/>
          <w:sz w:val="20"/>
          <w:szCs w:val="20"/>
          <w:lang w:val="en-US"/>
        </w:rPr>
        <w:t>s</w:t>
      </w:r>
      <w:r w:rsidRPr="00C7376D">
        <w:rPr>
          <w:rFonts w:ascii="Verdana" w:hAnsi="Verdana"/>
          <w:b/>
          <w:sz w:val="20"/>
          <w:szCs w:val="20"/>
          <w:lang w:val="en-US"/>
        </w:rPr>
        <w:t xml:space="preserve"> above pre-crisis peak</w:t>
      </w:r>
      <w:r w:rsidR="007C38D0" w:rsidRPr="00C7376D">
        <w:rPr>
          <w:rFonts w:ascii="Verdana" w:hAnsi="Verdana"/>
          <w:b/>
          <w:sz w:val="20"/>
          <w:szCs w:val="20"/>
          <w:lang w:val="en-US"/>
        </w:rPr>
        <w:t>, indicating a potential improv</w:t>
      </w:r>
      <w:r w:rsidR="00B458A2" w:rsidRPr="00C7376D">
        <w:rPr>
          <w:rFonts w:ascii="Verdana" w:hAnsi="Verdana"/>
          <w:b/>
          <w:sz w:val="20"/>
          <w:szCs w:val="20"/>
          <w:lang w:val="en-US"/>
        </w:rPr>
        <w:t>ement of the</w:t>
      </w:r>
      <w:r w:rsidR="007C38D0" w:rsidRPr="00C7376D">
        <w:rPr>
          <w:rFonts w:ascii="Verdana" w:hAnsi="Verdana"/>
          <w:b/>
          <w:sz w:val="20"/>
          <w:szCs w:val="20"/>
          <w:lang w:val="en-US"/>
        </w:rPr>
        <w:t xml:space="preserve"> economic outlook</w:t>
      </w:r>
      <w:r w:rsidR="003D05CF" w:rsidRPr="00C7376D">
        <w:rPr>
          <w:rFonts w:ascii="Verdana" w:hAnsi="Verdana"/>
          <w:b/>
          <w:sz w:val="20"/>
          <w:szCs w:val="20"/>
          <w:lang w:val="en-US"/>
        </w:rPr>
        <w:t>;</w:t>
      </w:r>
      <w:r w:rsidR="00C66C3D">
        <w:rPr>
          <w:rFonts w:ascii="Verdana" w:hAnsi="Verdana"/>
          <w:b/>
          <w:sz w:val="20"/>
          <w:szCs w:val="20"/>
          <w:lang w:val="en-US"/>
        </w:rPr>
        <w:t xml:space="preserve"> </w:t>
      </w:r>
    </w:p>
    <w:p w:rsidR="00E6565D" w:rsidRPr="001C2FB1" w:rsidRDefault="00E6565D" w:rsidP="00E6565D">
      <w:pPr>
        <w:pStyle w:val="Default"/>
        <w:numPr>
          <w:ilvl w:val="0"/>
          <w:numId w:val="1"/>
        </w:numPr>
        <w:spacing w:after="240"/>
        <w:ind w:right="2119"/>
        <w:rPr>
          <w:rFonts w:ascii="Verdana" w:hAnsi="Verdana"/>
          <w:b/>
          <w:color w:val="auto"/>
          <w:sz w:val="20"/>
          <w:szCs w:val="20"/>
        </w:rPr>
      </w:pPr>
      <w:r>
        <w:rPr>
          <w:rFonts w:ascii="Verdana" w:hAnsi="Verdana"/>
          <w:b/>
          <w:sz w:val="20"/>
          <w:szCs w:val="20"/>
        </w:rPr>
        <w:t>Road and ra</w:t>
      </w:r>
      <w:r w:rsidR="003D05CF">
        <w:rPr>
          <w:rFonts w:ascii="Verdana" w:hAnsi="Verdana"/>
          <w:b/>
          <w:sz w:val="20"/>
          <w:szCs w:val="20"/>
        </w:rPr>
        <w:t xml:space="preserve">il freight data continue to point out </w:t>
      </w:r>
      <w:r>
        <w:rPr>
          <w:rFonts w:ascii="Verdana" w:hAnsi="Verdana"/>
          <w:b/>
          <w:sz w:val="20"/>
          <w:szCs w:val="20"/>
        </w:rPr>
        <w:t>weak domestic demand</w:t>
      </w:r>
      <w:r w:rsidR="00F34BB6">
        <w:rPr>
          <w:rFonts w:ascii="Verdana" w:hAnsi="Verdana"/>
          <w:b/>
          <w:sz w:val="20"/>
          <w:szCs w:val="20"/>
        </w:rPr>
        <w:t xml:space="preserve"> especially in the EU area</w:t>
      </w:r>
      <w:r w:rsidR="003D05CF">
        <w:rPr>
          <w:rFonts w:ascii="Verdana" w:hAnsi="Verdana"/>
          <w:b/>
          <w:sz w:val="20"/>
          <w:szCs w:val="20"/>
        </w:rPr>
        <w:t>.</w:t>
      </w:r>
    </w:p>
    <w:bookmarkEnd w:id="1"/>
    <w:bookmarkEnd w:id="2"/>
    <w:p w:rsidR="00D41986" w:rsidRDefault="007D2C90" w:rsidP="009B5895">
      <w:pPr>
        <w:ind w:right="2126"/>
        <w:rPr>
          <w:rFonts w:ascii="Verdana" w:hAnsi="Verdana"/>
          <w:sz w:val="20"/>
          <w:szCs w:val="20"/>
        </w:rPr>
      </w:pPr>
      <w:r>
        <w:rPr>
          <w:rFonts w:ascii="Verdana" w:hAnsi="Verdana"/>
          <w:noProof/>
          <w:color w:val="000000"/>
          <w:sz w:val="20"/>
          <w:szCs w:val="20"/>
          <w:lang w:val="en-US" w:eastAsia="en-GB"/>
        </w:rPr>
        <w:pict>
          <v:rect id="_x0000_s1026" style="position:absolute;margin-left:438.2pt;margin-top:1.95pt;width:109pt;height:94.35pt;z-index:251658240;mso-width-relative:margin;mso-height-relative:margin" filled="f" fillcolor="#9bbb59" stroked="f" strokecolor="#f2f2f2" strokeweight="3pt">
            <v:shadow type="perspective" color="#4e6128" opacity=".5" offset="1pt" offset2="-1pt"/>
            <v:textbox style="mso-next-textbox:#_x0000_s1026">
              <w:txbxContent>
                <w:p w:rsidR="008226D2" w:rsidRPr="00B76ACE" w:rsidRDefault="008226D2" w:rsidP="008226D2">
                  <w:pPr>
                    <w:numPr>
                      <w:ilvl w:val="0"/>
                      <w:numId w:val="12"/>
                    </w:numPr>
                    <w:ind w:left="284" w:hanging="284"/>
                    <w:textboxTightWrap w:val="allLines"/>
                    <w:rPr>
                      <w:rFonts w:ascii="Verdana" w:hAnsi="Verdana"/>
                      <w:b/>
                      <w:color w:val="7BC143"/>
                      <w:sz w:val="20"/>
                      <w:szCs w:val="20"/>
                    </w:rPr>
                  </w:pPr>
                  <w:r>
                    <w:rPr>
                      <w:rFonts w:ascii="Verdana" w:hAnsi="Verdana"/>
                      <w:b/>
                      <w:color w:val="7BC143"/>
                      <w:sz w:val="20"/>
                      <w:szCs w:val="20"/>
                      <w:lang w:val="en-US"/>
                    </w:rPr>
                    <w:t>A rebalancing of trade and transport flows</w:t>
                  </w:r>
                </w:p>
              </w:txbxContent>
            </v:textbox>
          </v:rect>
        </w:pict>
      </w:r>
      <w:r w:rsidR="0034454B">
        <w:rPr>
          <w:rFonts w:ascii="Verdana" w:hAnsi="Verdana"/>
          <w:sz w:val="20"/>
          <w:szCs w:val="20"/>
        </w:rPr>
        <w:t xml:space="preserve">The overall picture for global freight shows </w:t>
      </w:r>
      <w:r w:rsidR="00DD28FB">
        <w:rPr>
          <w:rFonts w:ascii="Verdana" w:hAnsi="Verdana"/>
          <w:sz w:val="20"/>
          <w:szCs w:val="20"/>
        </w:rPr>
        <w:t>no major improvement since the previous brief.</w:t>
      </w:r>
      <w:r w:rsidR="00DB3E54">
        <w:rPr>
          <w:rFonts w:ascii="Verdana" w:hAnsi="Verdana"/>
          <w:sz w:val="20"/>
          <w:szCs w:val="20"/>
        </w:rPr>
        <w:t xml:space="preserve"> </w:t>
      </w:r>
      <w:r>
        <w:rPr>
          <w:rFonts w:ascii="Verdana" w:hAnsi="Verdana"/>
          <w:noProof/>
          <w:sz w:val="20"/>
          <w:szCs w:val="20"/>
          <w:lang w:val="en-US"/>
        </w:rPr>
        <w:pict>
          <v:rect id="_x0000_s1028" style="position:absolute;margin-left:438.2pt;margin-top:93.25pt;width:109pt;height:45.1pt;z-index:251660288;mso-position-horizontal-relative:text;mso-position-vertical-relative:text;mso-width-relative:margin;mso-height-relative:margin" filled="f" fillcolor="#9bbb59" stroked="f" strokecolor="#f2f2f2" strokeweight="3pt">
            <v:shadow type="perspective" color="#4e6128" opacity=".5" offset="1pt" offset2="-1pt"/>
            <v:textbox style="mso-next-textbox:#_x0000_s1028">
              <w:txbxContent>
                <w:p w:rsidR="00DF050C" w:rsidRPr="00B76ACE" w:rsidRDefault="00DF050C" w:rsidP="00DF050C">
                  <w:pPr>
                    <w:numPr>
                      <w:ilvl w:val="0"/>
                      <w:numId w:val="12"/>
                    </w:numPr>
                    <w:ind w:left="284" w:hanging="284"/>
                    <w:textboxTightWrap w:val="allLines"/>
                    <w:rPr>
                      <w:rFonts w:ascii="Verdana" w:hAnsi="Verdana"/>
                      <w:b/>
                      <w:color w:val="7BC143"/>
                      <w:sz w:val="20"/>
                      <w:szCs w:val="20"/>
                    </w:rPr>
                  </w:pPr>
                  <w:r>
                    <w:rPr>
                      <w:rFonts w:ascii="Verdana" w:hAnsi="Verdana"/>
                      <w:b/>
                      <w:color w:val="7BC143"/>
                      <w:sz w:val="20"/>
                      <w:szCs w:val="20"/>
                      <w:lang w:val="en-US"/>
                    </w:rPr>
                    <w:t>EU trade by air rebounds</w:t>
                  </w:r>
                </w:p>
              </w:txbxContent>
            </v:textbox>
          </v:rect>
        </w:pict>
      </w:r>
      <w:r w:rsidR="001711F9">
        <w:rPr>
          <w:rFonts w:ascii="Verdana" w:hAnsi="Verdana"/>
          <w:sz w:val="20"/>
          <w:szCs w:val="20"/>
        </w:rPr>
        <w:t>T</w:t>
      </w:r>
      <w:r w:rsidR="00D41986">
        <w:rPr>
          <w:rFonts w:ascii="Verdana" w:hAnsi="Verdana"/>
          <w:sz w:val="20"/>
          <w:szCs w:val="20"/>
        </w:rPr>
        <w:t xml:space="preserve">otal external trade by sea </w:t>
      </w:r>
      <w:r w:rsidR="00DB3E54">
        <w:rPr>
          <w:rFonts w:ascii="Verdana" w:hAnsi="Verdana"/>
          <w:sz w:val="20"/>
          <w:szCs w:val="20"/>
        </w:rPr>
        <w:t xml:space="preserve">(in tonnes) </w:t>
      </w:r>
      <w:r w:rsidR="00D41986">
        <w:rPr>
          <w:rFonts w:ascii="Verdana" w:hAnsi="Verdana"/>
          <w:sz w:val="20"/>
          <w:szCs w:val="20"/>
        </w:rPr>
        <w:t>continue</w:t>
      </w:r>
      <w:r w:rsidR="00DB3E54">
        <w:rPr>
          <w:rFonts w:ascii="Verdana" w:hAnsi="Verdana"/>
          <w:sz w:val="20"/>
          <w:szCs w:val="20"/>
        </w:rPr>
        <w:t>s</w:t>
      </w:r>
      <w:r w:rsidR="00D41986">
        <w:rPr>
          <w:rFonts w:ascii="Verdana" w:hAnsi="Verdana"/>
          <w:sz w:val="20"/>
          <w:szCs w:val="20"/>
        </w:rPr>
        <w:t xml:space="preserve"> to stagnat</w:t>
      </w:r>
      <w:r w:rsidR="004B4C6A">
        <w:rPr>
          <w:rFonts w:ascii="Verdana" w:hAnsi="Verdana"/>
          <w:sz w:val="20"/>
          <w:szCs w:val="20"/>
        </w:rPr>
        <w:t>e</w:t>
      </w:r>
      <w:r w:rsidR="00D41986">
        <w:rPr>
          <w:rFonts w:ascii="Verdana" w:hAnsi="Verdana"/>
          <w:sz w:val="20"/>
          <w:szCs w:val="20"/>
        </w:rPr>
        <w:t xml:space="preserve"> below pre-crisis level</w:t>
      </w:r>
      <w:r w:rsidR="004B4C6A">
        <w:rPr>
          <w:rFonts w:ascii="Verdana" w:hAnsi="Verdana"/>
          <w:sz w:val="20"/>
          <w:szCs w:val="20"/>
        </w:rPr>
        <w:t>s</w:t>
      </w:r>
      <w:r w:rsidR="00D41986">
        <w:rPr>
          <w:rFonts w:ascii="Verdana" w:hAnsi="Verdana"/>
          <w:sz w:val="20"/>
          <w:szCs w:val="20"/>
        </w:rPr>
        <w:t xml:space="preserve"> in the United States (-8%) and EU</w:t>
      </w:r>
      <w:r w:rsidR="0033743B">
        <w:rPr>
          <w:rFonts w:ascii="Verdana" w:hAnsi="Verdana"/>
          <w:sz w:val="20"/>
          <w:szCs w:val="20"/>
        </w:rPr>
        <w:t>27</w:t>
      </w:r>
      <w:r w:rsidR="00D41986">
        <w:rPr>
          <w:rFonts w:ascii="Verdana" w:hAnsi="Verdana"/>
          <w:sz w:val="20"/>
          <w:szCs w:val="20"/>
        </w:rPr>
        <w:t xml:space="preserve"> (-3%). Exports and imports transported by sea display increasing</w:t>
      </w:r>
      <w:r w:rsidR="00333523">
        <w:rPr>
          <w:rFonts w:ascii="Verdana" w:hAnsi="Verdana"/>
          <w:sz w:val="20"/>
          <w:szCs w:val="20"/>
        </w:rPr>
        <w:t>ly</w:t>
      </w:r>
      <w:r w:rsidR="00D41986">
        <w:rPr>
          <w:rFonts w:ascii="Verdana" w:hAnsi="Verdana"/>
          <w:sz w:val="20"/>
          <w:szCs w:val="20"/>
        </w:rPr>
        <w:t xml:space="preserve"> diverging trends. </w:t>
      </w:r>
      <w:r w:rsidR="00333523">
        <w:rPr>
          <w:rFonts w:ascii="Verdana" w:hAnsi="Verdana"/>
          <w:sz w:val="20"/>
          <w:szCs w:val="20"/>
        </w:rPr>
        <w:t xml:space="preserve">Total exports remain above pre-crisis levels (EU27 28%; United States 19%) </w:t>
      </w:r>
      <w:r w:rsidR="00D41986">
        <w:rPr>
          <w:rFonts w:ascii="Verdana" w:hAnsi="Verdana"/>
          <w:sz w:val="20"/>
          <w:szCs w:val="20"/>
        </w:rPr>
        <w:t xml:space="preserve">while imports </w:t>
      </w:r>
      <w:r w:rsidR="00015B85">
        <w:rPr>
          <w:rFonts w:ascii="Verdana" w:hAnsi="Verdana"/>
          <w:sz w:val="20"/>
          <w:szCs w:val="20"/>
        </w:rPr>
        <w:t xml:space="preserve">decline further </w:t>
      </w:r>
      <w:r w:rsidR="00333523">
        <w:rPr>
          <w:rFonts w:ascii="Verdana" w:hAnsi="Verdana"/>
          <w:sz w:val="20"/>
          <w:szCs w:val="20"/>
        </w:rPr>
        <w:t>(EU27 -15%; United States -24%).</w:t>
      </w:r>
      <w:r w:rsidR="001711F9">
        <w:rPr>
          <w:rFonts w:ascii="Verdana" w:hAnsi="Verdana"/>
          <w:sz w:val="20"/>
          <w:szCs w:val="20"/>
        </w:rPr>
        <w:t xml:space="preserve"> </w:t>
      </w:r>
      <w:r w:rsidR="00675F49">
        <w:rPr>
          <w:rFonts w:ascii="Verdana" w:hAnsi="Verdana"/>
          <w:sz w:val="20"/>
          <w:szCs w:val="20"/>
        </w:rPr>
        <w:t>This reinforces the observation of a rebalancing trade and transport flows, mainly driven by weak performance of the advanced economies</w:t>
      </w:r>
      <w:r w:rsidR="005B0320">
        <w:rPr>
          <w:rFonts w:ascii="Verdana" w:hAnsi="Verdana"/>
          <w:sz w:val="20"/>
          <w:szCs w:val="20"/>
        </w:rPr>
        <w:t xml:space="preserve"> (Figures 1-</w:t>
      </w:r>
      <w:r w:rsidR="001C2F8F">
        <w:rPr>
          <w:rFonts w:ascii="Verdana" w:hAnsi="Verdana"/>
          <w:sz w:val="20"/>
          <w:szCs w:val="20"/>
        </w:rPr>
        <w:t>5</w:t>
      </w:r>
      <w:r w:rsidR="005B0320">
        <w:rPr>
          <w:rFonts w:ascii="Verdana" w:hAnsi="Verdana"/>
          <w:sz w:val="20"/>
          <w:szCs w:val="20"/>
        </w:rPr>
        <w:t>)</w:t>
      </w:r>
      <w:r w:rsidR="00675F49">
        <w:rPr>
          <w:rFonts w:ascii="Verdana" w:hAnsi="Verdana"/>
          <w:sz w:val="20"/>
          <w:szCs w:val="20"/>
        </w:rPr>
        <w:t xml:space="preserve">. </w:t>
      </w:r>
    </w:p>
    <w:p w:rsidR="001711F9" w:rsidRDefault="00015B85" w:rsidP="009B5895">
      <w:pPr>
        <w:ind w:right="2126"/>
        <w:rPr>
          <w:rFonts w:ascii="Verdana" w:hAnsi="Verdana"/>
          <w:sz w:val="20"/>
          <w:szCs w:val="20"/>
        </w:rPr>
      </w:pPr>
      <w:r>
        <w:rPr>
          <w:rFonts w:ascii="Verdana" w:hAnsi="Verdana"/>
          <w:sz w:val="20"/>
          <w:szCs w:val="20"/>
        </w:rPr>
        <w:t>Air freight, considered a lead indicator, suggests continue</w:t>
      </w:r>
      <w:r w:rsidR="00DF6180">
        <w:rPr>
          <w:rFonts w:ascii="Verdana" w:hAnsi="Verdana"/>
          <w:sz w:val="20"/>
          <w:szCs w:val="20"/>
        </w:rPr>
        <w:t>d</w:t>
      </w:r>
      <w:r>
        <w:rPr>
          <w:rFonts w:ascii="Verdana" w:hAnsi="Verdana"/>
          <w:sz w:val="20"/>
          <w:szCs w:val="20"/>
        </w:rPr>
        <w:t xml:space="preserve"> uncertainty</w:t>
      </w:r>
      <w:r w:rsidR="00DA3479">
        <w:rPr>
          <w:rFonts w:ascii="Verdana" w:hAnsi="Verdana"/>
          <w:sz w:val="20"/>
          <w:szCs w:val="20"/>
        </w:rPr>
        <w:t xml:space="preserve">. </w:t>
      </w:r>
      <w:r>
        <w:rPr>
          <w:rFonts w:ascii="Verdana" w:hAnsi="Verdana"/>
          <w:sz w:val="20"/>
          <w:szCs w:val="20"/>
        </w:rPr>
        <w:t>United States external trade by air stagnate</w:t>
      </w:r>
      <w:r w:rsidR="000157A5">
        <w:rPr>
          <w:rFonts w:ascii="Verdana" w:hAnsi="Verdana"/>
          <w:sz w:val="20"/>
          <w:szCs w:val="20"/>
        </w:rPr>
        <w:t>s</w:t>
      </w:r>
      <w:r>
        <w:rPr>
          <w:rFonts w:ascii="Verdana" w:hAnsi="Verdana"/>
          <w:sz w:val="20"/>
          <w:szCs w:val="20"/>
        </w:rPr>
        <w:t xml:space="preserve"> below pre-crisis levels. </w:t>
      </w:r>
      <w:r w:rsidR="00DA3479">
        <w:rPr>
          <w:rFonts w:ascii="Verdana" w:hAnsi="Verdana"/>
          <w:sz w:val="20"/>
          <w:szCs w:val="20"/>
        </w:rPr>
        <w:t xml:space="preserve">However, EU trade by air rebounds above the pre-crisis peak (+3%), indicating </w:t>
      </w:r>
      <w:r w:rsidR="00CD3146">
        <w:rPr>
          <w:rFonts w:ascii="Verdana" w:hAnsi="Verdana"/>
          <w:sz w:val="20"/>
          <w:szCs w:val="20"/>
        </w:rPr>
        <w:t>a potential</w:t>
      </w:r>
      <w:r w:rsidR="00D6664A">
        <w:rPr>
          <w:rFonts w:ascii="Verdana" w:hAnsi="Verdana"/>
          <w:sz w:val="20"/>
          <w:szCs w:val="20"/>
        </w:rPr>
        <w:t xml:space="preserve"> improv</w:t>
      </w:r>
      <w:r w:rsidR="00CD3146">
        <w:rPr>
          <w:rFonts w:ascii="Verdana" w:hAnsi="Verdana"/>
          <w:sz w:val="20"/>
          <w:szCs w:val="20"/>
        </w:rPr>
        <w:t>ement of the</w:t>
      </w:r>
      <w:r w:rsidR="00D6664A">
        <w:rPr>
          <w:rFonts w:ascii="Verdana" w:hAnsi="Verdana"/>
          <w:sz w:val="20"/>
          <w:szCs w:val="20"/>
        </w:rPr>
        <w:t xml:space="preserve"> economic outlook</w:t>
      </w:r>
      <w:r w:rsidR="005B0320">
        <w:rPr>
          <w:rFonts w:ascii="Verdana" w:hAnsi="Verdana"/>
          <w:sz w:val="20"/>
          <w:szCs w:val="20"/>
        </w:rPr>
        <w:t xml:space="preserve"> (Figures 1-</w:t>
      </w:r>
      <w:r w:rsidR="001C2F8F">
        <w:rPr>
          <w:rFonts w:ascii="Verdana" w:hAnsi="Verdana"/>
          <w:sz w:val="20"/>
          <w:szCs w:val="20"/>
        </w:rPr>
        <w:t>5</w:t>
      </w:r>
      <w:r w:rsidR="005B0320">
        <w:rPr>
          <w:rFonts w:ascii="Verdana" w:hAnsi="Verdana"/>
          <w:sz w:val="20"/>
          <w:szCs w:val="20"/>
        </w:rPr>
        <w:t>)</w:t>
      </w:r>
      <w:r w:rsidR="00D6664A">
        <w:rPr>
          <w:rFonts w:ascii="Verdana" w:hAnsi="Verdana"/>
          <w:sz w:val="20"/>
          <w:szCs w:val="20"/>
        </w:rPr>
        <w:t>.</w:t>
      </w:r>
      <w:r w:rsidR="008D771F">
        <w:rPr>
          <w:rFonts w:ascii="Verdana" w:hAnsi="Verdana"/>
          <w:sz w:val="20"/>
          <w:szCs w:val="20"/>
        </w:rPr>
        <w:t xml:space="preserve"> </w:t>
      </w:r>
    </w:p>
    <w:p w:rsidR="001711F9" w:rsidRDefault="007D2C90" w:rsidP="009B5895">
      <w:pPr>
        <w:ind w:right="2126"/>
        <w:rPr>
          <w:rFonts w:ascii="Verdana" w:hAnsi="Verdana"/>
          <w:sz w:val="20"/>
          <w:szCs w:val="20"/>
        </w:rPr>
      </w:pPr>
      <w:r>
        <w:rPr>
          <w:rFonts w:ascii="Verdana" w:hAnsi="Verdana"/>
          <w:noProof/>
          <w:sz w:val="20"/>
          <w:szCs w:val="20"/>
          <w:lang w:val="en-US"/>
        </w:rPr>
        <w:pict>
          <v:rect id="_x0000_s1027" style="position:absolute;margin-left:438.2pt;margin-top:67.95pt;width:109pt;height:54.45pt;z-index:251659264;mso-width-relative:margin;mso-height-relative:margin" filled="f" fillcolor="#9bbb59" stroked="f" strokecolor="#f2f2f2" strokeweight="3pt">
            <v:shadow type="perspective" color="#4e6128" opacity=".5" offset="1pt" offset2="-1pt"/>
            <v:textbox style="mso-next-textbox:#_x0000_s1027">
              <w:txbxContent>
                <w:p w:rsidR="008226D2" w:rsidRPr="00B76ACE" w:rsidRDefault="00FC4384" w:rsidP="008226D2">
                  <w:pPr>
                    <w:numPr>
                      <w:ilvl w:val="0"/>
                      <w:numId w:val="12"/>
                    </w:numPr>
                    <w:ind w:left="284" w:hanging="284"/>
                    <w:textboxTightWrap w:val="allLines"/>
                    <w:rPr>
                      <w:rFonts w:ascii="Verdana" w:hAnsi="Verdana"/>
                      <w:b/>
                      <w:color w:val="7BC143"/>
                      <w:sz w:val="20"/>
                      <w:szCs w:val="20"/>
                    </w:rPr>
                  </w:pPr>
                  <w:r>
                    <w:rPr>
                      <w:rFonts w:ascii="Verdana" w:hAnsi="Verdana"/>
                      <w:b/>
                      <w:color w:val="7BC143"/>
                      <w:sz w:val="20"/>
                      <w:szCs w:val="20"/>
                      <w:lang w:val="en-US"/>
                    </w:rPr>
                    <w:t>Surface freight slowing down</w:t>
                  </w:r>
                </w:p>
              </w:txbxContent>
            </v:textbox>
          </v:rect>
        </w:pict>
      </w:r>
      <w:r w:rsidR="009544E7">
        <w:rPr>
          <w:rFonts w:ascii="Verdana" w:hAnsi="Verdana"/>
          <w:sz w:val="20"/>
          <w:szCs w:val="20"/>
        </w:rPr>
        <w:t xml:space="preserve">Exports to </w:t>
      </w:r>
      <w:r w:rsidR="00F46D76">
        <w:rPr>
          <w:rFonts w:ascii="Verdana" w:hAnsi="Verdana"/>
          <w:sz w:val="20"/>
          <w:szCs w:val="20"/>
        </w:rPr>
        <w:t>BRICS, and more specifically to China and India</w:t>
      </w:r>
      <w:r w:rsidR="00170702">
        <w:rPr>
          <w:rFonts w:ascii="Verdana" w:hAnsi="Verdana"/>
          <w:sz w:val="20"/>
          <w:szCs w:val="20"/>
        </w:rPr>
        <w:t>,</w:t>
      </w:r>
      <w:r w:rsidR="009544E7">
        <w:rPr>
          <w:rFonts w:ascii="Verdana" w:hAnsi="Verdana"/>
          <w:sz w:val="20"/>
          <w:szCs w:val="20"/>
        </w:rPr>
        <w:t xml:space="preserve"> ha</w:t>
      </w:r>
      <w:r w:rsidR="00CD0F5A">
        <w:rPr>
          <w:rFonts w:ascii="Verdana" w:hAnsi="Verdana"/>
          <w:sz w:val="20"/>
          <w:szCs w:val="20"/>
        </w:rPr>
        <w:t>ve</w:t>
      </w:r>
      <w:r w:rsidR="009544E7">
        <w:rPr>
          <w:rFonts w:ascii="Verdana" w:hAnsi="Verdana"/>
          <w:sz w:val="20"/>
          <w:szCs w:val="20"/>
        </w:rPr>
        <w:t xml:space="preserve"> been the locomotive of </w:t>
      </w:r>
      <w:r w:rsidR="00F46D76">
        <w:rPr>
          <w:rFonts w:ascii="Verdana" w:hAnsi="Verdana"/>
          <w:sz w:val="20"/>
          <w:szCs w:val="20"/>
        </w:rPr>
        <w:t xml:space="preserve">European and North American </w:t>
      </w:r>
      <w:r w:rsidR="009544E7">
        <w:rPr>
          <w:rFonts w:ascii="Verdana" w:hAnsi="Verdana"/>
          <w:sz w:val="20"/>
          <w:szCs w:val="20"/>
        </w:rPr>
        <w:t>growth</w:t>
      </w:r>
      <w:r w:rsidR="008D0AAC">
        <w:rPr>
          <w:rFonts w:ascii="Verdana" w:hAnsi="Verdana"/>
          <w:sz w:val="20"/>
          <w:szCs w:val="20"/>
        </w:rPr>
        <w:t xml:space="preserve"> since the crisis of 2008</w:t>
      </w:r>
      <w:r w:rsidR="009544E7">
        <w:rPr>
          <w:rFonts w:ascii="Verdana" w:hAnsi="Verdana"/>
          <w:sz w:val="20"/>
          <w:szCs w:val="20"/>
        </w:rPr>
        <w:t>.</w:t>
      </w:r>
      <w:r w:rsidR="004308EC">
        <w:rPr>
          <w:rFonts w:ascii="Verdana" w:hAnsi="Verdana"/>
          <w:sz w:val="20"/>
          <w:szCs w:val="20"/>
        </w:rPr>
        <w:t xml:space="preserve"> </w:t>
      </w:r>
      <w:r w:rsidR="00F46D76">
        <w:rPr>
          <w:rFonts w:ascii="Verdana" w:hAnsi="Verdana"/>
          <w:sz w:val="20"/>
          <w:szCs w:val="20"/>
        </w:rPr>
        <w:t>However, trade show</w:t>
      </w:r>
      <w:r w:rsidR="00170702">
        <w:rPr>
          <w:rFonts w:ascii="Verdana" w:hAnsi="Verdana"/>
          <w:sz w:val="20"/>
          <w:szCs w:val="20"/>
        </w:rPr>
        <w:t>s</w:t>
      </w:r>
      <w:r w:rsidR="00F46D76">
        <w:rPr>
          <w:rFonts w:ascii="Verdana" w:hAnsi="Verdana"/>
          <w:sz w:val="20"/>
          <w:szCs w:val="20"/>
        </w:rPr>
        <w:t xml:space="preserve"> signs of slowing down.</w:t>
      </w:r>
      <w:r w:rsidR="00170702">
        <w:rPr>
          <w:rFonts w:ascii="Verdana" w:hAnsi="Verdana"/>
          <w:sz w:val="20"/>
          <w:szCs w:val="20"/>
        </w:rPr>
        <w:t xml:space="preserve"> External trade by sea from India to EU27 and the United States has declined during the last two quarters while trade by air is stagnating both in India and China (</w:t>
      </w:r>
      <w:r w:rsidR="001C2F8F">
        <w:rPr>
          <w:rFonts w:ascii="Verdana" w:hAnsi="Verdana"/>
          <w:sz w:val="20"/>
          <w:szCs w:val="20"/>
        </w:rPr>
        <w:t>Figures 6-7)</w:t>
      </w:r>
      <w:r w:rsidR="007C743B">
        <w:rPr>
          <w:rFonts w:ascii="Verdana" w:hAnsi="Verdana"/>
          <w:sz w:val="20"/>
          <w:szCs w:val="20"/>
        </w:rPr>
        <w:t>.</w:t>
      </w:r>
      <w:r w:rsidR="0034454B">
        <w:rPr>
          <w:rFonts w:ascii="Verdana" w:hAnsi="Verdana"/>
          <w:sz w:val="20"/>
          <w:szCs w:val="20"/>
        </w:rPr>
        <w:t xml:space="preserve"> </w:t>
      </w:r>
    </w:p>
    <w:p w:rsidR="008D771F" w:rsidRDefault="00C70452" w:rsidP="009B5895">
      <w:pPr>
        <w:ind w:right="2126"/>
        <w:rPr>
          <w:rFonts w:ascii="Verdana" w:hAnsi="Verdana"/>
          <w:sz w:val="20"/>
          <w:szCs w:val="20"/>
        </w:rPr>
      </w:pPr>
      <w:r>
        <w:rPr>
          <w:rFonts w:ascii="Verdana" w:hAnsi="Verdana"/>
          <w:sz w:val="20"/>
          <w:szCs w:val="20"/>
        </w:rPr>
        <w:t>F</w:t>
      </w:r>
      <w:r w:rsidR="00CD0EAF">
        <w:rPr>
          <w:rFonts w:ascii="Verdana" w:hAnsi="Verdana"/>
          <w:sz w:val="20"/>
          <w:szCs w:val="20"/>
        </w:rPr>
        <w:t xml:space="preserve">reight transported by road and rail </w:t>
      </w:r>
      <w:r>
        <w:rPr>
          <w:rFonts w:ascii="Verdana" w:hAnsi="Verdana"/>
          <w:sz w:val="20"/>
          <w:szCs w:val="20"/>
        </w:rPr>
        <w:t xml:space="preserve">in the EU </w:t>
      </w:r>
      <w:r w:rsidR="00CD0EAF">
        <w:rPr>
          <w:rFonts w:ascii="Verdana" w:hAnsi="Verdana"/>
          <w:sz w:val="20"/>
          <w:szCs w:val="20"/>
        </w:rPr>
        <w:t xml:space="preserve">stagnate at -13% and -8% below pre-crisis </w:t>
      </w:r>
      <w:r w:rsidR="004B4C6A">
        <w:rPr>
          <w:rFonts w:ascii="Verdana" w:hAnsi="Verdana"/>
          <w:sz w:val="20"/>
          <w:szCs w:val="20"/>
        </w:rPr>
        <w:t>peak</w:t>
      </w:r>
      <w:r w:rsidR="000813C9">
        <w:rPr>
          <w:rFonts w:ascii="Verdana" w:hAnsi="Verdana"/>
          <w:sz w:val="20"/>
          <w:szCs w:val="20"/>
        </w:rPr>
        <w:t xml:space="preserve"> respectively</w:t>
      </w:r>
      <w:r w:rsidR="001711F9">
        <w:rPr>
          <w:rFonts w:ascii="Verdana" w:hAnsi="Verdana"/>
          <w:sz w:val="20"/>
          <w:szCs w:val="20"/>
        </w:rPr>
        <w:t>, reflect</w:t>
      </w:r>
      <w:r>
        <w:rPr>
          <w:rFonts w:ascii="Verdana" w:hAnsi="Verdana"/>
          <w:sz w:val="20"/>
          <w:szCs w:val="20"/>
        </w:rPr>
        <w:t>ing</w:t>
      </w:r>
      <w:r w:rsidR="001711F9">
        <w:rPr>
          <w:rFonts w:ascii="Verdana" w:hAnsi="Verdana"/>
          <w:sz w:val="20"/>
          <w:szCs w:val="20"/>
        </w:rPr>
        <w:t xml:space="preserve"> continuous weak domestic demand. Rail freight volume</w:t>
      </w:r>
      <w:r w:rsidR="000813C9">
        <w:rPr>
          <w:rFonts w:ascii="Verdana" w:hAnsi="Verdana"/>
          <w:sz w:val="20"/>
          <w:szCs w:val="20"/>
        </w:rPr>
        <w:t>s</w:t>
      </w:r>
      <w:r w:rsidR="001711F9">
        <w:rPr>
          <w:rFonts w:ascii="Verdana" w:hAnsi="Verdana"/>
          <w:sz w:val="20"/>
          <w:szCs w:val="20"/>
        </w:rPr>
        <w:t xml:space="preserve"> in the United States </w:t>
      </w:r>
      <w:r w:rsidR="000813C9">
        <w:rPr>
          <w:rFonts w:ascii="Verdana" w:hAnsi="Verdana"/>
          <w:sz w:val="20"/>
          <w:szCs w:val="20"/>
        </w:rPr>
        <w:t xml:space="preserve">and the Russian Federation reached </w:t>
      </w:r>
      <w:r w:rsidR="001711F9">
        <w:rPr>
          <w:rFonts w:ascii="Verdana" w:hAnsi="Verdana"/>
          <w:sz w:val="20"/>
          <w:szCs w:val="20"/>
        </w:rPr>
        <w:t>pre-crisis peak</w:t>
      </w:r>
      <w:r w:rsidR="000813C9">
        <w:rPr>
          <w:rFonts w:ascii="Verdana" w:hAnsi="Verdana"/>
          <w:sz w:val="20"/>
          <w:szCs w:val="20"/>
        </w:rPr>
        <w:t>s</w:t>
      </w:r>
      <w:r w:rsidR="001711F9">
        <w:rPr>
          <w:rFonts w:ascii="Verdana" w:hAnsi="Verdana"/>
          <w:sz w:val="20"/>
          <w:szCs w:val="20"/>
        </w:rPr>
        <w:t xml:space="preserve"> </w:t>
      </w:r>
      <w:r w:rsidR="000813C9">
        <w:rPr>
          <w:rFonts w:ascii="Verdana" w:hAnsi="Verdana"/>
          <w:sz w:val="20"/>
          <w:szCs w:val="20"/>
        </w:rPr>
        <w:t>earlier but show signs of slowing down</w:t>
      </w:r>
      <w:r w:rsidR="001711F9">
        <w:rPr>
          <w:rFonts w:ascii="Verdana" w:hAnsi="Verdana"/>
          <w:sz w:val="20"/>
          <w:szCs w:val="20"/>
        </w:rPr>
        <w:t xml:space="preserve">. </w:t>
      </w:r>
      <w:r w:rsidR="000813C9">
        <w:rPr>
          <w:rFonts w:ascii="Verdana" w:hAnsi="Verdana"/>
          <w:sz w:val="20"/>
          <w:szCs w:val="20"/>
        </w:rPr>
        <w:t xml:space="preserve">Rail freight in China shows also signs of slowing down after a period of strong growth </w:t>
      </w:r>
      <w:r w:rsidR="001C2F8F">
        <w:rPr>
          <w:rFonts w:ascii="Verdana" w:hAnsi="Verdana"/>
          <w:sz w:val="20"/>
          <w:szCs w:val="20"/>
        </w:rPr>
        <w:t>(Figures 8-9)</w:t>
      </w:r>
      <w:r w:rsidR="00904829">
        <w:rPr>
          <w:rFonts w:ascii="Verdana" w:hAnsi="Verdana"/>
          <w:sz w:val="20"/>
          <w:szCs w:val="20"/>
        </w:rPr>
        <w:t>.</w:t>
      </w:r>
      <w:r w:rsidR="00CD0EAF">
        <w:rPr>
          <w:rFonts w:ascii="Verdana" w:hAnsi="Verdana"/>
          <w:sz w:val="20"/>
          <w:szCs w:val="20"/>
        </w:rPr>
        <w:t xml:space="preserve"> </w:t>
      </w:r>
    </w:p>
    <w:p w:rsidR="00D4160A" w:rsidRDefault="00D4160A" w:rsidP="009B5895">
      <w:pPr>
        <w:ind w:right="2126"/>
        <w:rPr>
          <w:rFonts w:ascii="Verdana" w:hAnsi="Verdana"/>
          <w:sz w:val="20"/>
          <w:szCs w:val="20"/>
        </w:rPr>
      </w:pPr>
    </w:p>
    <w:p w:rsidR="009B3888" w:rsidRDefault="009B3888" w:rsidP="009B5895">
      <w:pPr>
        <w:ind w:right="2126"/>
        <w:rPr>
          <w:rFonts w:ascii="Verdana" w:hAnsi="Verdana"/>
          <w:sz w:val="20"/>
          <w:szCs w:val="20"/>
        </w:rPr>
      </w:pPr>
    </w:p>
    <w:p w:rsidR="00FC0531" w:rsidRDefault="00FC0531" w:rsidP="009B5895">
      <w:pPr>
        <w:ind w:right="2126"/>
        <w:rPr>
          <w:rFonts w:ascii="Verdana" w:hAnsi="Verdana"/>
          <w:sz w:val="20"/>
          <w:szCs w:val="20"/>
        </w:rPr>
      </w:pPr>
    </w:p>
    <w:p w:rsidR="00797078" w:rsidRPr="00A7489A" w:rsidRDefault="00FC0531" w:rsidP="00797078">
      <w:pPr>
        <w:pStyle w:val="NoSpacing"/>
        <w:ind w:right="2126"/>
        <w:jc w:val="center"/>
        <w:rPr>
          <w:rFonts w:ascii="Verdana" w:hAnsi="Verdana"/>
          <w:b/>
          <w:sz w:val="20"/>
          <w:szCs w:val="20"/>
        </w:rPr>
      </w:pPr>
      <w:r>
        <w:rPr>
          <w:rFonts w:ascii="Verdana" w:hAnsi="Verdana"/>
          <w:sz w:val="20"/>
          <w:szCs w:val="20"/>
        </w:rPr>
        <w:t>F</w:t>
      </w:r>
      <w:r w:rsidR="00797078" w:rsidRPr="00186779">
        <w:rPr>
          <w:rFonts w:ascii="Verdana" w:hAnsi="Verdana"/>
          <w:sz w:val="20"/>
          <w:szCs w:val="20"/>
        </w:rPr>
        <w:t xml:space="preserve">igure </w:t>
      </w:r>
      <w:r w:rsidR="00912525">
        <w:rPr>
          <w:rFonts w:ascii="Verdana" w:hAnsi="Verdana"/>
          <w:sz w:val="20"/>
          <w:szCs w:val="20"/>
        </w:rPr>
        <w:t>1</w:t>
      </w:r>
      <w:r w:rsidR="00797078" w:rsidRPr="00186779">
        <w:rPr>
          <w:rFonts w:ascii="Verdana" w:hAnsi="Verdana"/>
          <w:sz w:val="20"/>
          <w:szCs w:val="20"/>
        </w:rPr>
        <w:t>.</w:t>
      </w:r>
      <w:r w:rsidR="00797078" w:rsidRPr="00A7489A">
        <w:rPr>
          <w:rFonts w:ascii="Verdana" w:hAnsi="Verdana"/>
          <w:b/>
          <w:sz w:val="20"/>
          <w:szCs w:val="20"/>
        </w:rPr>
        <w:t xml:space="preserve"> External trade,</w:t>
      </w:r>
      <w:r w:rsidR="00186779">
        <w:rPr>
          <w:rFonts w:ascii="Verdana" w:hAnsi="Verdana"/>
          <w:b/>
          <w:sz w:val="20"/>
          <w:szCs w:val="20"/>
        </w:rPr>
        <w:t xml:space="preserve"> </w:t>
      </w:r>
      <w:r w:rsidR="00797078" w:rsidRPr="00A7489A">
        <w:rPr>
          <w:rFonts w:ascii="Verdana" w:hAnsi="Verdana"/>
          <w:b/>
          <w:sz w:val="20"/>
          <w:szCs w:val="20"/>
        </w:rPr>
        <w:t xml:space="preserve">percentage change from </w:t>
      </w:r>
      <w:r w:rsidR="00F358AE">
        <w:rPr>
          <w:rFonts w:ascii="Verdana" w:hAnsi="Verdana"/>
          <w:b/>
          <w:sz w:val="20"/>
          <w:szCs w:val="20"/>
        </w:rPr>
        <w:t>J</w:t>
      </w:r>
      <w:r w:rsidR="00D17057">
        <w:rPr>
          <w:rFonts w:ascii="Verdana" w:hAnsi="Verdana"/>
          <w:b/>
          <w:sz w:val="20"/>
          <w:szCs w:val="20"/>
        </w:rPr>
        <w:t>un</w:t>
      </w:r>
      <w:r w:rsidR="009B307A">
        <w:rPr>
          <w:rFonts w:ascii="Verdana" w:hAnsi="Verdana"/>
          <w:b/>
          <w:sz w:val="20"/>
          <w:szCs w:val="20"/>
        </w:rPr>
        <w:t>e 20</w:t>
      </w:r>
      <w:r w:rsidR="00D17057">
        <w:rPr>
          <w:rFonts w:ascii="Verdana" w:hAnsi="Verdana"/>
          <w:b/>
          <w:sz w:val="20"/>
          <w:szCs w:val="20"/>
        </w:rPr>
        <w:t>0</w:t>
      </w:r>
      <w:r w:rsidR="006C1F13">
        <w:rPr>
          <w:rFonts w:ascii="Verdana" w:hAnsi="Verdana"/>
          <w:b/>
          <w:sz w:val="20"/>
          <w:szCs w:val="20"/>
        </w:rPr>
        <w:t>8</w:t>
      </w:r>
    </w:p>
    <w:p w:rsidR="00797078" w:rsidRDefault="00797078" w:rsidP="00797078">
      <w:pPr>
        <w:pStyle w:val="NoSpacing"/>
        <w:ind w:right="2126"/>
        <w:jc w:val="center"/>
        <w:rPr>
          <w:rFonts w:ascii="Verdana" w:hAnsi="Verdana"/>
          <w:sz w:val="20"/>
          <w:szCs w:val="20"/>
        </w:rPr>
      </w:pPr>
      <w:r w:rsidRPr="00A7489A">
        <w:rPr>
          <w:rFonts w:ascii="Verdana" w:hAnsi="Verdana"/>
          <w:sz w:val="20"/>
          <w:szCs w:val="20"/>
        </w:rPr>
        <w:t>(Tonnes, monthly trend, seasonally adjusted)</w:t>
      </w:r>
    </w:p>
    <w:p w:rsidR="00225B0E" w:rsidRDefault="00225B0E" w:rsidP="00797078">
      <w:pPr>
        <w:pStyle w:val="NoSpacing"/>
        <w:ind w:right="2126"/>
        <w:jc w:val="center"/>
        <w:rPr>
          <w:rFonts w:ascii="Verdana" w:hAnsi="Verdana"/>
          <w:sz w:val="20"/>
          <w:szCs w:val="20"/>
        </w:rPr>
      </w:pPr>
      <w:r w:rsidRPr="00225B0E">
        <w:rPr>
          <w:noProof/>
          <w:lang w:eastAsia="en-US"/>
        </w:rPr>
        <w:drawing>
          <wp:inline distT="0" distB="0" distL="0" distR="0" wp14:anchorId="2C080273" wp14:editId="4A52BDC8">
            <wp:extent cx="5591654" cy="79433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194" t="1869" r="5713" b="1067"/>
                    <a:stretch/>
                  </pic:blipFill>
                  <pic:spPr bwMode="auto">
                    <a:xfrm>
                      <a:off x="0" y="0"/>
                      <a:ext cx="5590883" cy="7942258"/>
                    </a:xfrm>
                    <a:prstGeom prst="rect">
                      <a:avLst/>
                    </a:prstGeom>
                    <a:noFill/>
                    <a:ln>
                      <a:noFill/>
                    </a:ln>
                    <a:extLst>
                      <a:ext uri="{53640926-AAD7-44D8-BBD7-CCE9431645EC}">
                        <a14:shadowObscured xmlns:a14="http://schemas.microsoft.com/office/drawing/2010/main"/>
                      </a:ext>
                    </a:extLst>
                  </pic:spPr>
                </pic:pic>
              </a:graphicData>
            </a:graphic>
          </wp:inline>
        </w:drawing>
      </w:r>
    </w:p>
    <w:p w:rsidR="00225B0E" w:rsidRDefault="00225B0E" w:rsidP="00797078">
      <w:pPr>
        <w:pStyle w:val="NoSpacing"/>
        <w:ind w:right="2126"/>
        <w:jc w:val="center"/>
        <w:rPr>
          <w:rFonts w:ascii="Verdana" w:hAnsi="Verdana"/>
          <w:sz w:val="20"/>
          <w:szCs w:val="20"/>
        </w:rPr>
      </w:pPr>
    </w:p>
    <w:p w:rsidR="00B84061" w:rsidRDefault="00B84061" w:rsidP="007B3DFC">
      <w:pPr>
        <w:spacing w:after="0"/>
        <w:ind w:right="2126"/>
        <w:jc w:val="center"/>
        <w:rPr>
          <w:rFonts w:ascii="Verdana" w:hAnsi="Verdana"/>
          <w:sz w:val="20"/>
          <w:szCs w:val="20"/>
        </w:rPr>
      </w:pPr>
    </w:p>
    <w:p w:rsidR="00B84061" w:rsidRDefault="00B84061" w:rsidP="007B3DFC">
      <w:pPr>
        <w:spacing w:after="0"/>
        <w:ind w:right="2126"/>
        <w:jc w:val="center"/>
        <w:rPr>
          <w:rFonts w:ascii="Verdana" w:hAnsi="Verdana"/>
          <w:sz w:val="20"/>
          <w:szCs w:val="20"/>
        </w:rPr>
      </w:pPr>
    </w:p>
    <w:p w:rsidR="007B3DFC" w:rsidRDefault="007B3DFC" w:rsidP="007B3DFC">
      <w:pPr>
        <w:spacing w:after="0"/>
        <w:ind w:right="2126"/>
        <w:jc w:val="center"/>
        <w:rPr>
          <w:rFonts w:ascii="Verdana" w:hAnsi="Verdana"/>
          <w:b/>
          <w:sz w:val="20"/>
          <w:szCs w:val="20"/>
        </w:rPr>
      </w:pPr>
      <w:r w:rsidRPr="00186779">
        <w:rPr>
          <w:rFonts w:ascii="Verdana" w:hAnsi="Verdana"/>
          <w:sz w:val="20"/>
          <w:szCs w:val="20"/>
        </w:rPr>
        <w:t xml:space="preserve">Figure </w:t>
      </w:r>
      <w:r w:rsidR="005B34A4">
        <w:rPr>
          <w:rFonts w:ascii="Verdana" w:hAnsi="Verdana"/>
          <w:sz w:val="20"/>
          <w:szCs w:val="20"/>
        </w:rPr>
        <w:t>2</w:t>
      </w:r>
      <w:r w:rsidRPr="00186779">
        <w:rPr>
          <w:rFonts w:ascii="Verdana" w:hAnsi="Verdana"/>
          <w:sz w:val="20"/>
          <w:szCs w:val="20"/>
        </w:rPr>
        <w:t>.</w:t>
      </w:r>
      <w:r w:rsidRPr="00A7489A">
        <w:rPr>
          <w:rFonts w:ascii="Verdana" w:hAnsi="Verdana"/>
          <w:b/>
          <w:sz w:val="20"/>
          <w:szCs w:val="20"/>
        </w:rPr>
        <w:t xml:space="preserve"> </w:t>
      </w:r>
      <w:r>
        <w:rPr>
          <w:rFonts w:ascii="Verdana" w:hAnsi="Verdana"/>
          <w:b/>
          <w:sz w:val="20"/>
          <w:szCs w:val="20"/>
        </w:rPr>
        <w:t xml:space="preserve">EU external trade by </w:t>
      </w:r>
      <w:r w:rsidR="000B3A02">
        <w:rPr>
          <w:rFonts w:ascii="Verdana" w:hAnsi="Verdana"/>
          <w:b/>
          <w:sz w:val="20"/>
          <w:szCs w:val="20"/>
        </w:rPr>
        <w:t>sea</w:t>
      </w:r>
      <w:r>
        <w:rPr>
          <w:rFonts w:ascii="Verdana" w:hAnsi="Verdana"/>
          <w:b/>
          <w:sz w:val="20"/>
          <w:szCs w:val="20"/>
        </w:rPr>
        <w:t xml:space="preserve">, </w:t>
      </w:r>
      <w:r w:rsidR="006C1F13">
        <w:rPr>
          <w:rFonts w:ascii="Verdana" w:hAnsi="Verdana"/>
          <w:b/>
          <w:sz w:val="20"/>
          <w:szCs w:val="20"/>
        </w:rPr>
        <w:t>percentage</w:t>
      </w:r>
      <w:r>
        <w:rPr>
          <w:rFonts w:ascii="Verdana" w:hAnsi="Verdana"/>
          <w:b/>
          <w:sz w:val="20"/>
          <w:szCs w:val="20"/>
        </w:rPr>
        <w:t xml:space="preserve"> change from Jun</w:t>
      </w:r>
      <w:r w:rsidR="009B307A">
        <w:rPr>
          <w:rFonts w:ascii="Verdana" w:hAnsi="Verdana"/>
          <w:b/>
          <w:sz w:val="20"/>
          <w:szCs w:val="20"/>
        </w:rPr>
        <w:t>e 20</w:t>
      </w:r>
      <w:r w:rsidR="006C1F13">
        <w:rPr>
          <w:rFonts w:ascii="Verdana" w:hAnsi="Verdana"/>
          <w:b/>
          <w:sz w:val="20"/>
          <w:szCs w:val="20"/>
        </w:rPr>
        <w:t>0</w:t>
      </w:r>
      <w:r>
        <w:rPr>
          <w:rFonts w:ascii="Verdana" w:hAnsi="Verdana"/>
          <w:b/>
          <w:sz w:val="20"/>
          <w:szCs w:val="20"/>
        </w:rPr>
        <w:t>8</w:t>
      </w:r>
    </w:p>
    <w:p w:rsidR="007B3DFC" w:rsidRDefault="007B3DFC" w:rsidP="007B3DFC">
      <w:pPr>
        <w:pStyle w:val="NoSpacing"/>
        <w:ind w:right="2126"/>
        <w:jc w:val="center"/>
        <w:rPr>
          <w:rFonts w:ascii="Verdana" w:hAnsi="Verdana"/>
          <w:sz w:val="20"/>
          <w:szCs w:val="20"/>
        </w:rPr>
      </w:pPr>
      <w:r w:rsidRPr="00A7489A">
        <w:rPr>
          <w:rFonts w:ascii="Verdana" w:hAnsi="Verdana"/>
          <w:sz w:val="20"/>
          <w:szCs w:val="20"/>
        </w:rPr>
        <w:t>(Tonnes, monthly trend, seasonally adjusted)</w:t>
      </w:r>
    </w:p>
    <w:p w:rsidR="000B3A02" w:rsidRDefault="000B3A02" w:rsidP="007B3DFC">
      <w:pPr>
        <w:pStyle w:val="NoSpacing"/>
        <w:ind w:right="2126"/>
        <w:jc w:val="center"/>
        <w:rPr>
          <w:rFonts w:ascii="Verdana" w:hAnsi="Verdana"/>
          <w:sz w:val="20"/>
          <w:szCs w:val="20"/>
        </w:rPr>
      </w:pPr>
    </w:p>
    <w:p w:rsidR="008D7434" w:rsidRDefault="008D7434" w:rsidP="007B3DFC">
      <w:pPr>
        <w:pStyle w:val="NoSpacing"/>
        <w:ind w:right="2126"/>
        <w:jc w:val="center"/>
        <w:rPr>
          <w:rFonts w:ascii="Verdana" w:hAnsi="Verdana"/>
          <w:sz w:val="20"/>
          <w:szCs w:val="20"/>
        </w:rPr>
      </w:pPr>
      <w:r w:rsidRPr="008D7434">
        <w:rPr>
          <w:noProof/>
          <w:lang w:eastAsia="en-US"/>
        </w:rPr>
        <w:drawing>
          <wp:inline distT="0" distB="0" distL="0" distR="0" wp14:anchorId="49991107" wp14:editId="102F0573">
            <wp:extent cx="6353092" cy="30930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4590" t="1269" r="3726"/>
                    <a:stretch/>
                  </pic:blipFill>
                  <pic:spPr bwMode="auto">
                    <a:xfrm>
                      <a:off x="0" y="0"/>
                      <a:ext cx="6354652" cy="3093816"/>
                    </a:xfrm>
                    <a:prstGeom prst="rect">
                      <a:avLst/>
                    </a:prstGeom>
                    <a:noFill/>
                    <a:ln>
                      <a:noFill/>
                    </a:ln>
                    <a:extLst>
                      <a:ext uri="{53640926-AAD7-44D8-BBD7-CCE9431645EC}">
                        <a14:shadowObscured xmlns:a14="http://schemas.microsoft.com/office/drawing/2010/main"/>
                      </a:ext>
                    </a:extLst>
                  </pic:spPr>
                </pic:pic>
              </a:graphicData>
            </a:graphic>
          </wp:inline>
        </w:drawing>
      </w:r>
    </w:p>
    <w:p w:rsidR="000B3A02" w:rsidRDefault="000B3A02" w:rsidP="007B3DFC">
      <w:pPr>
        <w:pStyle w:val="NoSpacing"/>
        <w:ind w:right="2126"/>
        <w:jc w:val="center"/>
        <w:rPr>
          <w:rFonts w:ascii="Verdana" w:hAnsi="Verdana"/>
          <w:sz w:val="20"/>
          <w:szCs w:val="20"/>
        </w:rPr>
      </w:pPr>
    </w:p>
    <w:p w:rsidR="007B3DFC" w:rsidRDefault="007B3DFC" w:rsidP="00797078">
      <w:pPr>
        <w:pStyle w:val="NoSpacing"/>
        <w:ind w:right="2126"/>
        <w:jc w:val="center"/>
        <w:rPr>
          <w:rFonts w:ascii="Verdana" w:hAnsi="Verdana"/>
          <w:sz w:val="20"/>
          <w:szCs w:val="20"/>
        </w:rPr>
      </w:pPr>
    </w:p>
    <w:p w:rsidR="007B3DFC" w:rsidRDefault="007B3DFC" w:rsidP="007B3DFC">
      <w:pPr>
        <w:pStyle w:val="NoSpacing"/>
        <w:ind w:right="2126"/>
        <w:jc w:val="center"/>
        <w:rPr>
          <w:rFonts w:ascii="Verdana" w:hAnsi="Verdana"/>
          <w:sz w:val="20"/>
          <w:szCs w:val="20"/>
        </w:rPr>
      </w:pPr>
    </w:p>
    <w:p w:rsidR="00C11F5F" w:rsidRDefault="00C11F5F" w:rsidP="007B3DFC">
      <w:pPr>
        <w:pStyle w:val="NoSpacing"/>
        <w:ind w:right="2126"/>
        <w:jc w:val="center"/>
        <w:rPr>
          <w:rFonts w:ascii="Verdana" w:hAnsi="Verdana"/>
          <w:sz w:val="20"/>
          <w:szCs w:val="20"/>
        </w:rPr>
      </w:pPr>
    </w:p>
    <w:p w:rsidR="00C11F5F" w:rsidRDefault="00C11F5F" w:rsidP="007B3DFC">
      <w:pPr>
        <w:pStyle w:val="NoSpacing"/>
        <w:ind w:right="2126"/>
        <w:jc w:val="center"/>
        <w:rPr>
          <w:rFonts w:ascii="Verdana" w:hAnsi="Verdana"/>
          <w:sz w:val="20"/>
          <w:szCs w:val="20"/>
        </w:rPr>
      </w:pPr>
    </w:p>
    <w:p w:rsidR="007B3DFC" w:rsidRDefault="007B3DFC" w:rsidP="007B3DFC">
      <w:pPr>
        <w:spacing w:after="0"/>
        <w:ind w:right="2126"/>
        <w:jc w:val="center"/>
        <w:rPr>
          <w:rFonts w:ascii="Verdana" w:hAnsi="Verdana"/>
          <w:b/>
          <w:sz w:val="20"/>
          <w:szCs w:val="20"/>
        </w:rPr>
      </w:pPr>
      <w:r w:rsidRPr="00186779">
        <w:rPr>
          <w:rFonts w:ascii="Verdana" w:hAnsi="Verdana"/>
          <w:sz w:val="20"/>
          <w:szCs w:val="20"/>
        </w:rPr>
        <w:t xml:space="preserve">Figure </w:t>
      </w:r>
      <w:r w:rsidR="005B34A4">
        <w:rPr>
          <w:rFonts w:ascii="Verdana" w:hAnsi="Verdana"/>
          <w:sz w:val="20"/>
          <w:szCs w:val="20"/>
        </w:rPr>
        <w:t>3</w:t>
      </w:r>
      <w:r w:rsidRPr="00186779">
        <w:rPr>
          <w:rFonts w:ascii="Verdana" w:hAnsi="Verdana"/>
          <w:sz w:val="20"/>
          <w:szCs w:val="20"/>
        </w:rPr>
        <w:t>.</w:t>
      </w:r>
      <w:r w:rsidRPr="00A7489A">
        <w:rPr>
          <w:rFonts w:ascii="Verdana" w:hAnsi="Verdana"/>
          <w:b/>
          <w:sz w:val="20"/>
          <w:szCs w:val="20"/>
        </w:rPr>
        <w:t xml:space="preserve"> </w:t>
      </w:r>
      <w:r>
        <w:rPr>
          <w:rFonts w:ascii="Verdana" w:hAnsi="Verdana"/>
          <w:b/>
          <w:sz w:val="20"/>
          <w:szCs w:val="20"/>
        </w:rPr>
        <w:t xml:space="preserve">EU external trade by </w:t>
      </w:r>
      <w:r w:rsidR="000B3A02">
        <w:rPr>
          <w:rFonts w:ascii="Verdana" w:hAnsi="Verdana"/>
          <w:b/>
          <w:sz w:val="20"/>
          <w:szCs w:val="20"/>
        </w:rPr>
        <w:t>air</w:t>
      </w:r>
      <w:r>
        <w:rPr>
          <w:rFonts w:ascii="Verdana" w:hAnsi="Verdana"/>
          <w:b/>
          <w:sz w:val="20"/>
          <w:szCs w:val="20"/>
        </w:rPr>
        <w:t xml:space="preserve">, </w:t>
      </w:r>
      <w:r w:rsidR="006C1F13">
        <w:rPr>
          <w:rFonts w:ascii="Verdana" w:hAnsi="Verdana"/>
          <w:b/>
          <w:sz w:val="20"/>
          <w:szCs w:val="20"/>
        </w:rPr>
        <w:t>percentage</w:t>
      </w:r>
      <w:r>
        <w:rPr>
          <w:rFonts w:ascii="Verdana" w:hAnsi="Verdana"/>
          <w:b/>
          <w:sz w:val="20"/>
          <w:szCs w:val="20"/>
        </w:rPr>
        <w:t xml:space="preserve"> change from Jun</w:t>
      </w:r>
      <w:r w:rsidR="009B307A">
        <w:rPr>
          <w:rFonts w:ascii="Verdana" w:hAnsi="Verdana"/>
          <w:b/>
          <w:sz w:val="20"/>
          <w:szCs w:val="20"/>
        </w:rPr>
        <w:t>e 20</w:t>
      </w:r>
      <w:r>
        <w:rPr>
          <w:rFonts w:ascii="Verdana" w:hAnsi="Verdana"/>
          <w:b/>
          <w:sz w:val="20"/>
          <w:szCs w:val="20"/>
        </w:rPr>
        <w:t>08</w:t>
      </w:r>
    </w:p>
    <w:p w:rsidR="007B3DFC" w:rsidRDefault="007B3DFC" w:rsidP="007B3DFC">
      <w:pPr>
        <w:pStyle w:val="NoSpacing"/>
        <w:ind w:right="2126"/>
        <w:jc w:val="center"/>
        <w:rPr>
          <w:rFonts w:ascii="Verdana" w:hAnsi="Verdana"/>
          <w:sz w:val="20"/>
          <w:szCs w:val="20"/>
        </w:rPr>
      </w:pPr>
      <w:r w:rsidRPr="00A7489A">
        <w:rPr>
          <w:rFonts w:ascii="Verdana" w:hAnsi="Verdana"/>
          <w:sz w:val="20"/>
          <w:szCs w:val="20"/>
        </w:rPr>
        <w:t>(Tonnes, monthly trend, seasonally adjusted)</w:t>
      </w:r>
    </w:p>
    <w:p w:rsidR="004104AE" w:rsidRDefault="004104AE" w:rsidP="007B3DFC">
      <w:pPr>
        <w:pStyle w:val="NoSpacing"/>
        <w:ind w:right="2126"/>
        <w:jc w:val="center"/>
        <w:rPr>
          <w:rFonts w:ascii="Verdana" w:hAnsi="Verdana"/>
          <w:sz w:val="20"/>
          <w:szCs w:val="20"/>
        </w:rPr>
      </w:pPr>
      <w:r w:rsidRPr="004104AE">
        <w:rPr>
          <w:noProof/>
          <w:lang w:eastAsia="en-US"/>
        </w:rPr>
        <w:drawing>
          <wp:inline distT="0" distB="0" distL="0" distR="0" wp14:anchorId="4ADE256F" wp14:editId="474EE60C">
            <wp:extent cx="6480313" cy="31328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3098" r="3382"/>
                    <a:stretch/>
                  </pic:blipFill>
                  <pic:spPr bwMode="auto">
                    <a:xfrm>
                      <a:off x="0" y="0"/>
                      <a:ext cx="6481904" cy="3133583"/>
                    </a:xfrm>
                    <a:prstGeom prst="rect">
                      <a:avLst/>
                    </a:prstGeom>
                    <a:noFill/>
                    <a:ln>
                      <a:noFill/>
                    </a:ln>
                    <a:extLst>
                      <a:ext uri="{53640926-AAD7-44D8-BBD7-CCE9431645EC}">
                        <a14:shadowObscured xmlns:a14="http://schemas.microsoft.com/office/drawing/2010/main"/>
                      </a:ext>
                    </a:extLst>
                  </pic:spPr>
                </pic:pic>
              </a:graphicData>
            </a:graphic>
          </wp:inline>
        </w:drawing>
      </w:r>
    </w:p>
    <w:p w:rsidR="000B3A02" w:rsidRDefault="000B3A02" w:rsidP="007B3DFC">
      <w:pPr>
        <w:pStyle w:val="NoSpacing"/>
        <w:ind w:right="2126"/>
        <w:jc w:val="center"/>
        <w:rPr>
          <w:rFonts w:ascii="Verdana" w:hAnsi="Verdana"/>
          <w:sz w:val="20"/>
          <w:szCs w:val="20"/>
        </w:rPr>
      </w:pPr>
    </w:p>
    <w:p w:rsidR="00C11F5F" w:rsidRDefault="00C11F5F" w:rsidP="007B3DFC">
      <w:pPr>
        <w:pStyle w:val="NoSpacing"/>
        <w:ind w:right="2126"/>
        <w:jc w:val="center"/>
        <w:rPr>
          <w:rFonts w:ascii="Verdana" w:hAnsi="Verdana"/>
          <w:sz w:val="20"/>
          <w:szCs w:val="20"/>
        </w:rPr>
      </w:pPr>
    </w:p>
    <w:p w:rsidR="009D2DBB" w:rsidRDefault="009D2DBB">
      <w:pPr>
        <w:spacing w:after="0"/>
        <w:rPr>
          <w:rFonts w:ascii="Verdana" w:eastAsia="MS Mincho" w:hAnsi="Verdana"/>
          <w:sz w:val="20"/>
          <w:szCs w:val="20"/>
          <w:lang w:val="en-US" w:eastAsia="ja-JP"/>
        </w:rPr>
      </w:pPr>
    </w:p>
    <w:p w:rsidR="000B3A02" w:rsidRDefault="000B3A02">
      <w:pPr>
        <w:spacing w:after="0"/>
        <w:rPr>
          <w:rFonts w:ascii="Verdana" w:eastAsia="MS Mincho" w:hAnsi="Verdana"/>
          <w:sz w:val="20"/>
          <w:szCs w:val="20"/>
          <w:lang w:val="en-US" w:eastAsia="ja-JP"/>
        </w:rPr>
      </w:pPr>
    </w:p>
    <w:p w:rsidR="00043C77" w:rsidRDefault="00043C77">
      <w:pPr>
        <w:spacing w:after="0"/>
        <w:rPr>
          <w:rFonts w:ascii="Verdana" w:eastAsia="MS Mincho" w:hAnsi="Verdana"/>
          <w:sz w:val="20"/>
          <w:szCs w:val="20"/>
          <w:lang w:val="en-US" w:eastAsia="ja-JP"/>
        </w:rPr>
      </w:pPr>
    </w:p>
    <w:p w:rsidR="00043C77" w:rsidRDefault="00043C77">
      <w:pPr>
        <w:spacing w:after="0"/>
        <w:rPr>
          <w:rFonts w:ascii="Verdana" w:eastAsia="MS Mincho" w:hAnsi="Verdana"/>
          <w:sz w:val="20"/>
          <w:szCs w:val="20"/>
          <w:lang w:val="en-US" w:eastAsia="ja-JP"/>
        </w:rPr>
      </w:pPr>
    </w:p>
    <w:p w:rsidR="00C11F5F" w:rsidRDefault="00C11F5F" w:rsidP="00C14F8A">
      <w:pPr>
        <w:spacing w:after="0"/>
        <w:ind w:right="2126"/>
        <w:jc w:val="center"/>
        <w:rPr>
          <w:rFonts w:ascii="Verdana" w:hAnsi="Verdana"/>
          <w:sz w:val="20"/>
          <w:szCs w:val="20"/>
        </w:rPr>
      </w:pPr>
    </w:p>
    <w:p w:rsidR="00C14F8A" w:rsidRDefault="00C14F8A" w:rsidP="00C14F8A">
      <w:pPr>
        <w:spacing w:after="0"/>
        <w:ind w:right="2126"/>
        <w:jc w:val="center"/>
        <w:rPr>
          <w:rFonts w:ascii="Verdana" w:hAnsi="Verdana"/>
          <w:b/>
          <w:sz w:val="20"/>
          <w:szCs w:val="20"/>
        </w:rPr>
      </w:pPr>
      <w:r w:rsidRPr="00186779">
        <w:rPr>
          <w:rFonts w:ascii="Verdana" w:hAnsi="Verdana"/>
          <w:sz w:val="20"/>
          <w:szCs w:val="20"/>
        </w:rPr>
        <w:t xml:space="preserve">Figure </w:t>
      </w:r>
      <w:r w:rsidR="005B34A4">
        <w:rPr>
          <w:rFonts w:ascii="Verdana" w:hAnsi="Verdana"/>
          <w:sz w:val="20"/>
          <w:szCs w:val="20"/>
        </w:rPr>
        <w:t>4</w:t>
      </w:r>
      <w:r w:rsidRPr="00186779">
        <w:rPr>
          <w:rFonts w:ascii="Verdana" w:hAnsi="Verdana"/>
          <w:sz w:val="20"/>
          <w:szCs w:val="20"/>
        </w:rPr>
        <w:t>.</w:t>
      </w:r>
      <w:r w:rsidRPr="00A7489A">
        <w:rPr>
          <w:rFonts w:ascii="Verdana" w:hAnsi="Verdana"/>
          <w:b/>
          <w:sz w:val="20"/>
          <w:szCs w:val="20"/>
        </w:rPr>
        <w:t xml:space="preserve"> </w:t>
      </w:r>
      <w:r>
        <w:rPr>
          <w:rFonts w:ascii="Verdana" w:hAnsi="Verdana"/>
          <w:b/>
          <w:sz w:val="20"/>
          <w:szCs w:val="20"/>
        </w:rPr>
        <w:t xml:space="preserve">USA external trade by </w:t>
      </w:r>
      <w:r w:rsidR="000B3A02">
        <w:rPr>
          <w:rFonts w:ascii="Verdana" w:hAnsi="Verdana"/>
          <w:b/>
          <w:sz w:val="20"/>
          <w:szCs w:val="20"/>
        </w:rPr>
        <w:t>sea</w:t>
      </w:r>
      <w:r>
        <w:rPr>
          <w:rFonts w:ascii="Verdana" w:hAnsi="Verdana"/>
          <w:b/>
          <w:sz w:val="20"/>
          <w:szCs w:val="20"/>
        </w:rPr>
        <w:t xml:space="preserve">, </w:t>
      </w:r>
      <w:r w:rsidR="006C1F13">
        <w:rPr>
          <w:rFonts w:ascii="Verdana" w:hAnsi="Verdana"/>
          <w:b/>
          <w:sz w:val="20"/>
          <w:szCs w:val="20"/>
        </w:rPr>
        <w:t>percentage</w:t>
      </w:r>
      <w:r>
        <w:rPr>
          <w:rFonts w:ascii="Verdana" w:hAnsi="Verdana"/>
          <w:b/>
          <w:sz w:val="20"/>
          <w:szCs w:val="20"/>
        </w:rPr>
        <w:t xml:space="preserve"> change from Jun</w:t>
      </w:r>
      <w:r w:rsidR="009B307A">
        <w:rPr>
          <w:rFonts w:ascii="Verdana" w:hAnsi="Verdana"/>
          <w:b/>
          <w:sz w:val="20"/>
          <w:szCs w:val="20"/>
        </w:rPr>
        <w:t>e 20</w:t>
      </w:r>
      <w:r>
        <w:rPr>
          <w:rFonts w:ascii="Verdana" w:hAnsi="Verdana"/>
          <w:b/>
          <w:sz w:val="20"/>
          <w:szCs w:val="20"/>
        </w:rPr>
        <w:t>08</w:t>
      </w:r>
    </w:p>
    <w:p w:rsidR="00C14F8A" w:rsidRDefault="00C14F8A" w:rsidP="00C14F8A">
      <w:pPr>
        <w:pStyle w:val="NoSpacing"/>
        <w:ind w:right="2126"/>
        <w:jc w:val="center"/>
        <w:rPr>
          <w:rFonts w:ascii="Verdana" w:hAnsi="Verdana"/>
          <w:sz w:val="20"/>
          <w:szCs w:val="20"/>
        </w:rPr>
      </w:pPr>
      <w:r w:rsidRPr="00A7489A">
        <w:rPr>
          <w:rFonts w:ascii="Verdana" w:hAnsi="Verdana"/>
          <w:sz w:val="20"/>
          <w:szCs w:val="20"/>
        </w:rPr>
        <w:t>(Tonnes, monthly trend, seasonally adjusted)</w:t>
      </w:r>
    </w:p>
    <w:p w:rsidR="009D2DBB" w:rsidRDefault="00FC1CFE" w:rsidP="00797078">
      <w:pPr>
        <w:pStyle w:val="NoSpacing"/>
        <w:ind w:right="2126"/>
        <w:jc w:val="center"/>
        <w:rPr>
          <w:rFonts w:ascii="Verdana" w:hAnsi="Verdana"/>
          <w:sz w:val="20"/>
          <w:szCs w:val="20"/>
        </w:rPr>
      </w:pPr>
      <w:r w:rsidRPr="00FC1CFE">
        <w:rPr>
          <w:noProof/>
          <w:lang w:eastAsia="en-US"/>
        </w:rPr>
        <w:drawing>
          <wp:inline distT="0" distB="0" distL="0" distR="0" wp14:anchorId="409C73ED" wp14:editId="4D1827A2">
            <wp:extent cx="6424654" cy="31328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3099" r="4185"/>
                    <a:stretch/>
                  </pic:blipFill>
                  <pic:spPr bwMode="auto">
                    <a:xfrm>
                      <a:off x="0" y="0"/>
                      <a:ext cx="6426231" cy="3133583"/>
                    </a:xfrm>
                    <a:prstGeom prst="rect">
                      <a:avLst/>
                    </a:prstGeom>
                    <a:noFill/>
                    <a:ln>
                      <a:noFill/>
                    </a:ln>
                    <a:extLst>
                      <a:ext uri="{53640926-AAD7-44D8-BBD7-CCE9431645EC}">
                        <a14:shadowObscured xmlns:a14="http://schemas.microsoft.com/office/drawing/2010/main"/>
                      </a:ext>
                    </a:extLst>
                  </pic:spPr>
                </pic:pic>
              </a:graphicData>
            </a:graphic>
          </wp:inline>
        </w:drawing>
      </w:r>
    </w:p>
    <w:p w:rsidR="009D2DBB" w:rsidRDefault="009D2DBB" w:rsidP="00797078">
      <w:pPr>
        <w:pStyle w:val="NoSpacing"/>
        <w:ind w:right="2126"/>
        <w:jc w:val="center"/>
        <w:rPr>
          <w:rFonts w:ascii="Verdana" w:hAnsi="Verdana"/>
          <w:sz w:val="20"/>
          <w:szCs w:val="20"/>
        </w:rPr>
      </w:pPr>
    </w:p>
    <w:p w:rsidR="000B3A02" w:rsidRDefault="000B3A02" w:rsidP="00797078">
      <w:pPr>
        <w:pStyle w:val="NoSpacing"/>
        <w:ind w:right="2126"/>
        <w:jc w:val="center"/>
        <w:rPr>
          <w:rFonts w:ascii="Verdana" w:hAnsi="Verdana"/>
          <w:sz w:val="20"/>
          <w:szCs w:val="20"/>
        </w:rPr>
      </w:pPr>
    </w:p>
    <w:p w:rsidR="000B3A02" w:rsidRDefault="000B3A02" w:rsidP="00797078">
      <w:pPr>
        <w:pStyle w:val="NoSpacing"/>
        <w:ind w:right="2126"/>
        <w:jc w:val="center"/>
        <w:rPr>
          <w:rFonts w:ascii="Verdana" w:hAnsi="Verdana"/>
          <w:sz w:val="20"/>
          <w:szCs w:val="20"/>
        </w:rPr>
      </w:pPr>
    </w:p>
    <w:p w:rsidR="00C14F8A" w:rsidRDefault="00C14F8A" w:rsidP="00C14F8A">
      <w:pPr>
        <w:spacing w:after="0"/>
        <w:ind w:right="2126"/>
        <w:jc w:val="center"/>
        <w:rPr>
          <w:rFonts w:ascii="Verdana" w:hAnsi="Verdana"/>
          <w:b/>
          <w:sz w:val="20"/>
          <w:szCs w:val="20"/>
        </w:rPr>
      </w:pPr>
      <w:r w:rsidRPr="00186779">
        <w:rPr>
          <w:rFonts w:ascii="Verdana" w:hAnsi="Verdana"/>
          <w:sz w:val="20"/>
          <w:szCs w:val="20"/>
        </w:rPr>
        <w:t xml:space="preserve">Figure </w:t>
      </w:r>
      <w:r w:rsidR="005B34A4">
        <w:rPr>
          <w:rFonts w:ascii="Verdana" w:hAnsi="Verdana"/>
          <w:sz w:val="20"/>
          <w:szCs w:val="20"/>
        </w:rPr>
        <w:t>5</w:t>
      </w:r>
      <w:r w:rsidRPr="00186779">
        <w:rPr>
          <w:rFonts w:ascii="Verdana" w:hAnsi="Verdana"/>
          <w:sz w:val="20"/>
          <w:szCs w:val="20"/>
        </w:rPr>
        <w:t>.</w:t>
      </w:r>
      <w:r w:rsidRPr="00A7489A">
        <w:rPr>
          <w:rFonts w:ascii="Verdana" w:hAnsi="Verdana"/>
          <w:b/>
          <w:sz w:val="20"/>
          <w:szCs w:val="20"/>
        </w:rPr>
        <w:t xml:space="preserve"> </w:t>
      </w:r>
      <w:r>
        <w:rPr>
          <w:rFonts w:ascii="Verdana" w:hAnsi="Verdana"/>
          <w:b/>
          <w:sz w:val="20"/>
          <w:szCs w:val="20"/>
        </w:rPr>
        <w:t xml:space="preserve">USA external trade by </w:t>
      </w:r>
      <w:r w:rsidR="000B3A02">
        <w:rPr>
          <w:rFonts w:ascii="Verdana" w:hAnsi="Verdana"/>
          <w:b/>
          <w:sz w:val="20"/>
          <w:szCs w:val="20"/>
        </w:rPr>
        <w:t>air</w:t>
      </w:r>
      <w:r>
        <w:rPr>
          <w:rFonts w:ascii="Verdana" w:hAnsi="Verdana"/>
          <w:b/>
          <w:sz w:val="20"/>
          <w:szCs w:val="20"/>
        </w:rPr>
        <w:t xml:space="preserve">, </w:t>
      </w:r>
      <w:r w:rsidR="006C1F13">
        <w:rPr>
          <w:rFonts w:ascii="Verdana" w:hAnsi="Verdana"/>
          <w:b/>
          <w:sz w:val="20"/>
          <w:szCs w:val="20"/>
        </w:rPr>
        <w:t>percentage</w:t>
      </w:r>
      <w:r>
        <w:rPr>
          <w:rFonts w:ascii="Verdana" w:hAnsi="Verdana"/>
          <w:b/>
          <w:sz w:val="20"/>
          <w:szCs w:val="20"/>
        </w:rPr>
        <w:t xml:space="preserve"> change from Jun</w:t>
      </w:r>
      <w:r w:rsidR="009B307A">
        <w:rPr>
          <w:rFonts w:ascii="Verdana" w:hAnsi="Verdana"/>
          <w:b/>
          <w:sz w:val="20"/>
          <w:szCs w:val="20"/>
        </w:rPr>
        <w:t>e 20</w:t>
      </w:r>
      <w:r>
        <w:rPr>
          <w:rFonts w:ascii="Verdana" w:hAnsi="Verdana"/>
          <w:b/>
          <w:sz w:val="20"/>
          <w:szCs w:val="20"/>
        </w:rPr>
        <w:t>08</w:t>
      </w:r>
    </w:p>
    <w:p w:rsidR="00C14F8A" w:rsidRDefault="00C14F8A" w:rsidP="00C14F8A">
      <w:pPr>
        <w:pStyle w:val="NoSpacing"/>
        <w:ind w:right="2126"/>
        <w:jc w:val="center"/>
        <w:rPr>
          <w:rFonts w:ascii="Verdana" w:hAnsi="Verdana"/>
          <w:sz w:val="20"/>
          <w:szCs w:val="20"/>
        </w:rPr>
      </w:pPr>
      <w:r w:rsidRPr="00A7489A">
        <w:rPr>
          <w:rFonts w:ascii="Verdana" w:hAnsi="Verdana"/>
          <w:sz w:val="20"/>
          <w:szCs w:val="20"/>
        </w:rPr>
        <w:t>(Tonnes, monthly trend, seasonally adjusted)</w:t>
      </w:r>
    </w:p>
    <w:p w:rsidR="00C11F5F" w:rsidRDefault="00C11F5F" w:rsidP="00C14F8A">
      <w:pPr>
        <w:pStyle w:val="NoSpacing"/>
        <w:ind w:right="2126"/>
        <w:jc w:val="center"/>
        <w:rPr>
          <w:rFonts w:ascii="Verdana" w:hAnsi="Verdana"/>
          <w:sz w:val="20"/>
          <w:szCs w:val="20"/>
        </w:rPr>
      </w:pPr>
    </w:p>
    <w:p w:rsidR="00C11F5F" w:rsidRDefault="00A91C23" w:rsidP="00C14F8A">
      <w:pPr>
        <w:pStyle w:val="NoSpacing"/>
        <w:ind w:right="2126"/>
        <w:jc w:val="center"/>
        <w:rPr>
          <w:rFonts w:ascii="Verdana" w:hAnsi="Verdana"/>
          <w:sz w:val="20"/>
          <w:szCs w:val="20"/>
        </w:rPr>
      </w:pPr>
      <w:r w:rsidRPr="00A91C23">
        <w:rPr>
          <w:noProof/>
          <w:lang w:eastAsia="en-US"/>
        </w:rPr>
        <w:drawing>
          <wp:inline distT="0" distB="0" distL="0" distR="0" wp14:anchorId="1C90103E" wp14:editId="5DCBCF32">
            <wp:extent cx="6504167" cy="31328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2295" r="3840"/>
                    <a:stretch/>
                  </pic:blipFill>
                  <pic:spPr bwMode="auto">
                    <a:xfrm>
                      <a:off x="0" y="0"/>
                      <a:ext cx="6505764" cy="3133583"/>
                    </a:xfrm>
                    <a:prstGeom prst="rect">
                      <a:avLst/>
                    </a:prstGeom>
                    <a:noFill/>
                    <a:ln>
                      <a:noFill/>
                    </a:ln>
                    <a:extLst>
                      <a:ext uri="{53640926-AAD7-44D8-BBD7-CCE9431645EC}">
                        <a14:shadowObscured xmlns:a14="http://schemas.microsoft.com/office/drawing/2010/main"/>
                      </a:ext>
                    </a:extLst>
                  </pic:spPr>
                </pic:pic>
              </a:graphicData>
            </a:graphic>
          </wp:inline>
        </w:drawing>
      </w:r>
    </w:p>
    <w:p w:rsidR="008E0E3A" w:rsidRDefault="008E0E3A" w:rsidP="00C14F8A">
      <w:pPr>
        <w:pStyle w:val="NoSpacing"/>
        <w:ind w:right="2126"/>
        <w:jc w:val="center"/>
        <w:rPr>
          <w:rFonts w:ascii="Verdana" w:hAnsi="Verdana"/>
          <w:sz w:val="20"/>
          <w:szCs w:val="20"/>
        </w:rPr>
      </w:pPr>
    </w:p>
    <w:p w:rsidR="008E0E3A" w:rsidRDefault="008E0E3A" w:rsidP="00C14F8A">
      <w:pPr>
        <w:pStyle w:val="NoSpacing"/>
        <w:ind w:right="2126"/>
        <w:jc w:val="center"/>
        <w:rPr>
          <w:rFonts w:ascii="Verdana" w:hAnsi="Verdana"/>
          <w:sz w:val="20"/>
          <w:szCs w:val="20"/>
        </w:rPr>
      </w:pPr>
    </w:p>
    <w:p w:rsidR="008E0E3A" w:rsidRDefault="008E0E3A" w:rsidP="00C14F8A">
      <w:pPr>
        <w:pStyle w:val="NoSpacing"/>
        <w:ind w:right="2126"/>
        <w:jc w:val="center"/>
        <w:rPr>
          <w:rFonts w:ascii="Verdana" w:hAnsi="Verdana"/>
          <w:sz w:val="20"/>
          <w:szCs w:val="20"/>
        </w:rPr>
      </w:pPr>
    </w:p>
    <w:p w:rsidR="008E0E3A" w:rsidRDefault="008E0E3A" w:rsidP="00C14F8A">
      <w:pPr>
        <w:pStyle w:val="NoSpacing"/>
        <w:ind w:right="2126"/>
        <w:jc w:val="center"/>
        <w:rPr>
          <w:rFonts w:ascii="Verdana" w:hAnsi="Verdana"/>
          <w:sz w:val="20"/>
          <w:szCs w:val="20"/>
        </w:rPr>
      </w:pPr>
    </w:p>
    <w:p w:rsidR="00C66C3D" w:rsidRDefault="00C66C3D">
      <w:pPr>
        <w:spacing w:after="0"/>
        <w:ind w:right="2126"/>
        <w:jc w:val="center"/>
        <w:rPr>
          <w:rFonts w:ascii="Verdana" w:hAnsi="Verdana"/>
          <w:sz w:val="20"/>
          <w:szCs w:val="20"/>
        </w:rPr>
      </w:pPr>
      <w:bookmarkStart w:id="3" w:name="OLE_LINK3"/>
      <w:bookmarkStart w:id="4" w:name="OLE_LINK4"/>
    </w:p>
    <w:p w:rsidR="009B307A" w:rsidRDefault="008E0E3A">
      <w:pPr>
        <w:spacing w:after="0"/>
        <w:ind w:right="2126"/>
        <w:jc w:val="center"/>
        <w:rPr>
          <w:rFonts w:ascii="Verdana" w:hAnsi="Verdana"/>
          <w:b/>
          <w:sz w:val="20"/>
          <w:szCs w:val="20"/>
        </w:rPr>
      </w:pPr>
      <w:r w:rsidRPr="00186779">
        <w:rPr>
          <w:rFonts w:ascii="Verdana" w:hAnsi="Verdana"/>
          <w:sz w:val="20"/>
          <w:szCs w:val="20"/>
        </w:rPr>
        <w:t xml:space="preserve">Figure </w:t>
      </w:r>
      <w:r w:rsidR="005B34A4">
        <w:rPr>
          <w:rFonts w:ascii="Verdana" w:hAnsi="Verdana"/>
          <w:sz w:val="20"/>
          <w:szCs w:val="20"/>
        </w:rPr>
        <w:t>6</w:t>
      </w:r>
      <w:r w:rsidRPr="00186779">
        <w:rPr>
          <w:rFonts w:ascii="Verdana" w:hAnsi="Verdana"/>
          <w:sz w:val="20"/>
          <w:szCs w:val="20"/>
        </w:rPr>
        <w:t>.</w:t>
      </w:r>
      <w:r w:rsidRPr="00A7489A">
        <w:rPr>
          <w:rFonts w:ascii="Verdana" w:hAnsi="Verdana"/>
          <w:b/>
          <w:sz w:val="20"/>
          <w:szCs w:val="20"/>
        </w:rPr>
        <w:t xml:space="preserve"> </w:t>
      </w:r>
      <w:r>
        <w:rPr>
          <w:rFonts w:ascii="Verdana" w:hAnsi="Verdana"/>
          <w:b/>
          <w:sz w:val="20"/>
          <w:szCs w:val="20"/>
        </w:rPr>
        <w:t>BRICS external trade by sea with EU27</w:t>
      </w:r>
      <w:r w:rsidR="009B307A">
        <w:rPr>
          <w:rFonts w:ascii="Verdana" w:hAnsi="Verdana"/>
          <w:b/>
          <w:sz w:val="20"/>
          <w:szCs w:val="20"/>
        </w:rPr>
        <w:t xml:space="preserve"> and United States, </w:t>
      </w:r>
    </w:p>
    <w:p w:rsidR="008E0E3A" w:rsidRDefault="00B84061">
      <w:pPr>
        <w:spacing w:after="0"/>
        <w:ind w:right="2126"/>
        <w:jc w:val="center"/>
        <w:rPr>
          <w:rFonts w:ascii="Verdana" w:hAnsi="Verdana"/>
          <w:b/>
          <w:sz w:val="20"/>
          <w:szCs w:val="20"/>
        </w:rPr>
      </w:pPr>
      <w:r>
        <w:rPr>
          <w:rFonts w:ascii="Verdana" w:hAnsi="Verdana"/>
          <w:b/>
          <w:sz w:val="20"/>
          <w:szCs w:val="20"/>
        </w:rPr>
        <w:t>Jun</w:t>
      </w:r>
      <w:r w:rsidR="009B307A">
        <w:rPr>
          <w:rFonts w:ascii="Verdana" w:hAnsi="Verdana"/>
          <w:b/>
          <w:sz w:val="20"/>
          <w:szCs w:val="20"/>
        </w:rPr>
        <w:t>e 2008=100</w:t>
      </w:r>
    </w:p>
    <w:p w:rsidR="008E0E3A" w:rsidRDefault="008E0E3A" w:rsidP="008E0E3A">
      <w:pPr>
        <w:pStyle w:val="NoSpacing"/>
        <w:ind w:right="2126"/>
        <w:jc w:val="center"/>
        <w:rPr>
          <w:rFonts w:ascii="Verdana" w:hAnsi="Verdana"/>
          <w:sz w:val="20"/>
          <w:szCs w:val="20"/>
        </w:rPr>
      </w:pPr>
      <w:r w:rsidRPr="00A7489A">
        <w:rPr>
          <w:rFonts w:ascii="Verdana" w:hAnsi="Verdana"/>
          <w:sz w:val="20"/>
          <w:szCs w:val="20"/>
        </w:rPr>
        <w:t>(Tonnes, monthly trend, seasonally adjusted)</w:t>
      </w:r>
    </w:p>
    <w:bookmarkEnd w:id="3"/>
    <w:bookmarkEnd w:id="4"/>
    <w:p w:rsidR="008E0E3A" w:rsidRDefault="005B34A4" w:rsidP="008E0E3A">
      <w:pPr>
        <w:pStyle w:val="NoSpacing"/>
        <w:ind w:right="2126"/>
        <w:jc w:val="center"/>
        <w:rPr>
          <w:rFonts w:ascii="Verdana" w:hAnsi="Verdana"/>
          <w:sz w:val="20"/>
          <w:szCs w:val="20"/>
        </w:rPr>
      </w:pPr>
      <w:r w:rsidRPr="005B34A4">
        <w:rPr>
          <w:noProof/>
          <w:lang w:eastAsia="en-US"/>
        </w:rPr>
        <w:drawing>
          <wp:inline distT="0" distB="0" distL="0" distR="0" wp14:anchorId="4BF5C7BE" wp14:editId="2EFCA222">
            <wp:extent cx="6120000" cy="3472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4014"/>
                    <a:stretch/>
                  </pic:blipFill>
                  <pic:spPr bwMode="auto">
                    <a:xfrm>
                      <a:off x="0" y="0"/>
                      <a:ext cx="6120000" cy="3472403"/>
                    </a:xfrm>
                    <a:prstGeom prst="rect">
                      <a:avLst/>
                    </a:prstGeom>
                    <a:noFill/>
                    <a:ln>
                      <a:noFill/>
                    </a:ln>
                    <a:extLst>
                      <a:ext uri="{53640926-AAD7-44D8-BBD7-CCE9431645EC}">
                        <a14:shadowObscured xmlns:a14="http://schemas.microsoft.com/office/drawing/2010/main"/>
                      </a:ext>
                    </a:extLst>
                  </pic:spPr>
                </pic:pic>
              </a:graphicData>
            </a:graphic>
          </wp:inline>
        </w:drawing>
      </w:r>
    </w:p>
    <w:p w:rsidR="008E0E3A" w:rsidRDefault="008E0E3A" w:rsidP="008E0E3A">
      <w:pPr>
        <w:pStyle w:val="NoSpacing"/>
        <w:ind w:right="2126"/>
        <w:jc w:val="center"/>
        <w:rPr>
          <w:rFonts w:ascii="Verdana" w:hAnsi="Verdana"/>
          <w:sz w:val="20"/>
          <w:szCs w:val="20"/>
        </w:rPr>
      </w:pPr>
    </w:p>
    <w:p w:rsidR="008E0E3A" w:rsidRDefault="008E0E3A" w:rsidP="008E0E3A">
      <w:pPr>
        <w:pStyle w:val="NoSpacing"/>
        <w:ind w:right="2126"/>
        <w:jc w:val="center"/>
        <w:rPr>
          <w:rFonts w:ascii="Verdana" w:hAnsi="Verdana"/>
          <w:sz w:val="20"/>
          <w:szCs w:val="20"/>
        </w:rPr>
      </w:pPr>
    </w:p>
    <w:p w:rsidR="009B307A" w:rsidRDefault="00043C77" w:rsidP="00043C77">
      <w:pPr>
        <w:spacing w:after="0"/>
        <w:ind w:right="2126"/>
        <w:jc w:val="center"/>
        <w:rPr>
          <w:rFonts w:ascii="Verdana" w:hAnsi="Verdana"/>
          <w:b/>
          <w:sz w:val="20"/>
          <w:szCs w:val="20"/>
        </w:rPr>
      </w:pPr>
      <w:r w:rsidRPr="00186779">
        <w:rPr>
          <w:rFonts w:ascii="Verdana" w:hAnsi="Verdana"/>
          <w:sz w:val="20"/>
          <w:szCs w:val="20"/>
        </w:rPr>
        <w:t xml:space="preserve">Figure </w:t>
      </w:r>
      <w:r w:rsidR="005B34A4">
        <w:rPr>
          <w:rFonts w:ascii="Verdana" w:hAnsi="Verdana"/>
          <w:sz w:val="20"/>
          <w:szCs w:val="20"/>
        </w:rPr>
        <w:t>7</w:t>
      </w:r>
      <w:r w:rsidRPr="00186779">
        <w:rPr>
          <w:rFonts w:ascii="Verdana" w:hAnsi="Verdana"/>
          <w:sz w:val="20"/>
          <w:szCs w:val="20"/>
        </w:rPr>
        <w:t>.</w:t>
      </w:r>
      <w:r w:rsidRPr="00A7489A">
        <w:rPr>
          <w:rFonts w:ascii="Verdana" w:hAnsi="Verdana"/>
          <w:b/>
          <w:sz w:val="20"/>
          <w:szCs w:val="20"/>
        </w:rPr>
        <w:t xml:space="preserve"> </w:t>
      </w:r>
      <w:r>
        <w:rPr>
          <w:rFonts w:ascii="Verdana" w:hAnsi="Verdana"/>
          <w:b/>
          <w:sz w:val="20"/>
          <w:szCs w:val="20"/>
        </w:rPr>
        <w:t>BRICS external trade by air with EU27</w:t>
      </w:r>
      <w:r w:rsidR="009B307A">
        <w:rPr>
          <w:rFonts w:ascii="Verdana" w:hAnsi="Verdana"/>
          <w:b/>
          <w:sz w:val="20"/>
          <w:szCs w:val="20"/>
        </w:rPr>
        <w:t xml:space="preserve"> and United States, </w:t>
      </w:r>
    </w:p>
    <w:p w:rsidR="00043C77" w:rsidRDefault="00B84061" w:rsidP="00043C77">
      <w:pPr>
        <w:spacing w:after="0"/>
        <w:ind w:right="2126"/>
        <w:jc w:val="center"/>
        <w:rPr>
          <w:rFonts w:ascii="Verdana" w:hAnsi="Verdana"/>
          <w:b/>
          <w:sz w:val="20"/>
          <w:szCs w:val="20"/>
        </w:rPr>
      </w:pPr>
      <w:r>
        <w:rPr>
          <w:rFonts w:ascii="Verdana" w:hAnsi="Verdana"/>
          <w:b/>
          <w:sz w:val="20"/>
          <w:szCs w:val="20"/>
        </w:rPr>
        <w:t>Jun</w:t>
      </w:r>
      <w:r w:rsidR="009B307A">
        <w:rPr>
          <w:rFonts w:ascii="Verdana" w:hAnsi="Verdana"/>
          <w:b/>
          <w:sz w:val="20"/>
          <w:szCs w:val="20"/>
        </w:rPr>
        <w:t>e 20</w:t>
      </w:r>
      <w:r>
        <w:rPr>
          <w:rFonts w:ascii="Verdana" w:hAnsi="Verdana"/>
          <w:b/>
          <w:sz w:val="20"/>
          <w:szCs w:val="20"/>
        </w:rPr>
        <w:t>08=100</w:t>
      </w:r>
    </w:p>
    <w:p w:rsidR="00043C77" w:rsidRDefault="00043C77" w:rsidP="00043C77">
      <w:pPr>
        <w:pStyle w:val="NoSpacing"/>
        <w:ind w:right="2126"/>
        <w:jc w:val="center"/>
        <w:rPr>
          <w:rFonts w:ascii="Verdana" w:hAnsi="Verdana"/>
          <w:sz w:val="20"/>
          <w:szCs w:val="20"/>
        </w:rPr>
      </w:pPr>
      <w:r w:rsidRPr="00A7489A">
        <w:rPr>
          <w:rFonts w:ascii="Verdana" w:hAnsi="Verdana"/>
          <w:sz w:val="20"/>
          <w:szCs w:val="20"/>
        </w:rPr>
        <w:t>(Tonnes, monthly trend, seasonally adjusted)</w:t>
      </w:r>
    </w:p>
    <w:p w:rsidR="00E27FF1" w:rsidRDefault="005B34A4" w:rsidP="00043C77">
      <w:pPr>
        <w:spacing w:after="0"/>
        <w:ind w:right="2126"/>
        <w:jc w:val="center"/>
        <w:rPr>
          <w:rFonts w:ascii="Verdana" w:hAnsi="Verdana"/>
          <w:sz w:val="20"/>
          <w:szCs w:val="20"/>
        </w:rPr>
      </w:pPr>
      <w:r w:rsidRPr="005B34A4">
        <w:rPr>
          <w:noProof/>
          <w:lang w:val="en-US"/>
        </w:rPr>
        <w:drawing>
          <wp:inline distT="0" distB="0" distL="0" distR="0" wp14:anchorId="004AA647" wp14:editId="4AD9B3BB">
            <wp:extent cx="6120000" cy="3600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5">
                      <a:extLst>
                        <a:ext uri="{28A0092B-C50C-407E-A947-70E740481C1C}">
                          <a14:useLocalDpi xmlns:a14="http://schemas.microsoft.com/office/drawing/2010/main" val="0"/>
                        </a:ext>
                      </a:extLst>
                    </a:blip>
                    <a:srcRect l="3787" t="3815"/>
                    <a:stretch/>
                  </pic:blipFill>
                  <pic:spPr bwMode="auto">
                    <a:xfrm>
                      <a:off x="0" y="0"/>
                      <a:ext cx="6120000" cy="3600000"/>
                    </a:xfrm>
                    <a:prstGeom prst="rect">
                      <a:avLst/>
                    </a:prstGeom>
                    <a:noFill/>
                    <a:ln>
                      <a:noFill/>
                    </a:ln>
                    <a:extLst>
                      <a:ext uri="{53640926-AAD7-44D8-BBD7-CCE9431645EC}">
                        <a14:shadowObscured xmlns:a14="http://schemas.microsoft.com/office/drawing/2010/main"/>
                      </a:ext>
                    </a:extLst>
                  </pic:spPr>
                </pic:pic>
              </a:graphicData>
            </a:graphic>
          </wp:inline>
        </w:drawing>
      </w:r>
      <w:r w:rsidR="009D2DBB">
        <w:rPr>
          <w:rFonts w:ascii="Verdana" w:hAnsi="Verdana"/>
          <w:sz w:val="20"/>
          <w:szCs w:val="20"/>
        </w:rPr>
        <w:br w:type="page"/>
      </w:r>
    </w:p>
    <w:p w:rsidR="00F211FF" w:rsidRDefault="00797078" w:rsidP="00F211FF">
      <w:pPr>
        <w:spacing w:after="0"/>
        <w:ind w:right="2126"/>
        <w:jc w:val="center"/>
        <w:rPr>
          <w:rFonts w:ascii="Verdana" w:hAnsi="Verdana"/>
          <w:b/>
          <w:sz w:val="20"/>
          <w:szCs w:val="20"/>
        </w:rPr>
      </w:pPr>
      <w:r w:rsidRPr="00186779">
        <w:rPr>
          <w:rFonts w:ascii="Verdana" w:hAnsi="Verdana"/>
          <w:sz w:val="20"/>
          <w:szCs w:val="20"/>
        </w:rPr>
        <w:t xml:space="preserve">Figure </w:t>
      </w:r>
      <w:r w:rsidR="005B34A4">
        <w:rPr>
          <w:rFonts w:ascii="Verdana" w:hAnsi="Verdana"/>
          <w:sz w:val="20"/>
          <w:szCs w:val="20"/>
        </w:rPr>
        <w:t>8</w:t>
      </w:r>
      <w:r w:rsidRPr="00186779">
        <w:rPr>
          <w:rFonts w:ascii="Verdana" w:hAnsi="Verdana"/>
          <w:sz w:val="20"/>
          <w:szCs w:val="20"/>
        </w:rPr>
        <w:t>.</w:t>
      </w:r>
      <w:r w:rsidRPr="00A7489A">
        <w:rPr>
          <w:rFonts w:ascii="Verdana" w:hAnsi="Verdana"/>
          <w:b/>
          <w:sz w:val="20"/>
          <w:szCs w:val="20"/>
        </w:rPr>
        <w:t xml:space="preserve"> </w:t>
      </w:r>
      <w:r w:rsidR="00CB755D">
        <w:rPr>
          <w:rFonts w:ascii="Verdana" w:hAnsi="Verdana"/>
          <w:b/>
          <w:sz w:val="20"/>
          <w:szCs w:val="20"/>
        </w:rPr>
        <w:t>National and i</w:t>
      </w:r>
      <w:r>
        <w:rPr>
          <w:rFonts w:ascii="Verdana" w:hAnsi="Verdana"/>
          <w:b/>
          <w:sz w:val="20"/>
          <w:szCs w:val="20"/>
        </w:rPr>
        <w:t xml:space="preserve">nternational </w:t>
      </w:r>
      <w:r w:rsidR="00CB755D">
        <w:rPr>
          <w:rFonts w:ascii="Verdana" w:hAnsi="Verdana"/>
          <w:b/>
          <w:sz w:val="20"/>
          <w:szCs w:val="20"/>
        </w:rPr>
        <w:t>r</w:t>
      </w:r>
      <w:r>
        <w:rPr>
          <w:rFonts w:ascii="Verdana" w:hAnsi="Verdana"/>
          <w:b/>
          <w:sz w:val="20"/>
          <w:szCs w:val="20"/>
        </w:rPr>
        <w:t>ail</w:t>
      </w:r>
      <w:r w:rsidR="00812431">
        <w:rPr>
          <w:rFonts w:ascii="Verdana" w:hAnsi="Verdana"/>
          <w:b/>
          <w:sz w:val="20"/>
          <w:szCs w:val="20"/>
        </w:rPr>
        <w:t xml:space="preserve"> freight</w:t>
      </w:r>
    </w:p>
    <w:p w:rsidR="00797078" w:rsidRDefault="00797078" w:rsidP="00F211FF">
      <w:pPr>
        <w:ind w:right="2126"/>
        <w:jc w:val="center"/>
        <w:rPr>
          <w:rFonts w:ascii="Verdana" w:hAnsi="Verdana"/>
          <w:sz w:val="20"/>
          <w:szCs w:val="20"/>
        </w:rPr>
      </w:pPr>
      <w:r w:rsidRPr="00A7489A">
        <w:rPr>
          <w:rFonts w:ascii="Verdana" w:hAnsi="Verdana"/>
          <w:sz w:val="20"/>
          <w:szCs w:val="20"/>
        </w:rPr>
        <w:t>(</w:t>
      </w:r>
      <w:r w:rsidR="00840393">
        <w:rPr>
          <w:rFonts w:ascii="Verdana" w:hAnsi="Verdana"/>
          <w:sz w:val="20"/>
          <w:szCs w:val="20"/>
        </w:rPr>
        <w:t>M</w:t>
      </w:r>
      <w:r>
        <w:rPr>
          <w:rFonts w:ascii="Verdana" w:hAnsi="Verdana"/>
          <w:sz w:val="20"/>
          <w:szCs w:val="20"/>
        </w:rPr>
        <w:t>illion tonne-km, trend, seasonally adjusted</w:t>
      </w:r>
      <w:r w:rsidRPr="00A7489A">
        <w:rPr>
          <w:rFonts w:ascii="Verdana" w:hAnsi="Verdana"/>
          <w:sz w:val="20"/>
          <w:szCs w:val="20"/>
        </w:rPr>
        <w:t>)</w:t>
      </w:r>
    </w:p>
    <w:p w:rsidR="00953B3D" w:rsidRDefault="00953B3D" w:rsidP="00797078">
      <w:pPr>
        <w:pStyle w:val="NoSpacing"/>
        <w:ind w:right="2126"/>
        <w:jc w:val="center"/>
        <w:rPr>
          <w:noProof/>
          <w:lang w:eastAsia="en-US"/>
        </w:rPr>
      </w:pPr>
    </w:p>
    <w:p w:rsidR="0043077B" w:rsidRDefault="005C6FAA" w:rsidP="00797078">
      <w:pPr>
        <w:pStyle w:val="NoSpacing"/>
        <w:ind w:right="2126"/>
        <w:jc w:val="center"/>
        <w:rPr>
          <w:rFonts w:ascii="Verdana" w:hAnsi="Verdana"/>
          <w:sz w:val="20"/>
          <w:szCs w:val="20"/>
        </w:rPr>
      </w:pPr>
      <w:r w:rsidRPr="005C6FAA">
        <w:rPr>
          <w:noProof/>
          <w:lang w:eastAsia="en-US"/>
        </w:rPr>
        <w:drawing>
          <wp:inline distT="0" distB="0" distL="0" distR="0" wp14:anchorId="68AA85F4" wp14:editId="70E1DF4B">
            <wp:extent cx="5972810" cy="285877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72810" cy="2858770"/>
                    </a:xfrm>
                    <a:prstGeom prst="rect">
                      <a:avLst/>
                    </a:prstGeom>
                  </pic:spPr>
                </pic:pic>
              </a:graphicData>
            </a:graphic>
          </wp:inline>
        </w:drawing>
      </w:r>
    </w:p>
    <w:p w:rsidR="00402291" w:rsidRDefault="00402291" w:rsidP="00797078">
      <w:pPr>
        <w:pStyle w:val="NoSpacing"/>
        <w:ind w:right="2126"/>
        <w:jc w:val="center"/>
        <w:rPr>
          <w:rFonts w:ascii="Verdana" w:hAnsi="Verdana"/>
          <w:sz w:val="20"/>
          <w:szCs w:val="20"/>
        </w:rPr>
      </w:pPr>
    </w:p>
    <w:p w:rsidR="00797078" w:rsidRDefault="00797078" w:rsidP="00AA028C">
      <w:pPr>
        <w:ind w:right="2126"/>
        <w:rPr>
          <w:rFonts w:ascii="Verdana" w:hAnsi="Verdana"/>
          <w:iCs/>
          <w:sz w:val="16"/>
          <w:szCs w:val="16"/>
        </w:rPr>
      </w:pPr>
      <w:r w:rsidRPr="00D526AF">
        <w:rPr>
          <w:rFonts w:ascii="Verdana" w:hAnsi="Verdana"/>
          <w:b/>
          <w:iCs/>
          <w:sz w:val="16"/>
          <w:szCs w:val="16"/>
        </w:rPr>
        <w:t>Note:</w:t>
      </w:r>
      <w:r w:rsidRPr="009D6F55">
        <w:rPr>
          <w:rFonts w:ascii="Verdana" w:hAnsi="Verdana"/>
          <w:iCs/>
          <w:sz w:val="16"/>
          <w:szCs w:val="16"/>
        </w:rPr>
        <w:t xml:space="preserve"> </w:t>
      </w:r>
      <w:r w:rsidR="005C6FAA">
        <w:rPr>
          <w:rFonts w:ascii="Verdana" w:hAnsi="Verdana"/>
          <w:iCs/>
          <w:sz w:val="16"/>
          <w:szCs w:val="16"/>
        </w:rPr>
        <w:t xml:space="preserve">China data is sourced from National Bureau of Statistics of China. EU </w:t>
      </w:r>
      <w:r w:rsidRPr="009D6F55">
        <w:rPr>
          <w:rFonts w:ascii="Verdana" w:hAnsi="Verdana"/>
          <w:iCs/>
          <w:sz w:val="16"/>
          <w:szCs w:val="16"/>
        </w:rPr>
        <w:t>rail freight</w:t>
      </w:r>
      <w:r w:rsidR="005C6FAA">
        <w:rPr>
          <w:rFonts w:ascii="Verdana" w:hAnsi="Verdana"/>
          <w:iCs/>
          <w:sz w:val="16"/>
          <w:szCs w:val="16"/>
        </w:rPr>
        <w:t xml:space="preserve"> data </w:t>
      </w:r>
      <w:r w:rsidRPr="009D6F55">
        <w:rPr>
          <w:rFonts w:ascii="Verdana" w:hAnsi="Verdana"/>
          <w:iCs/>
          <w:sz w:val="16"/>
          <w:szCs w:val="16"/>
        </w:rPr>
        <w:t>include</w:t>
      </w:r>
      <w:r w:rsidR="005C6FAA">
        <w:rPr>
          <w:rFonts w:ascii="Verdana" w:hAnsi="Verdana"/>
          <w:iCs/>
          <w:sz w:val="16"/>
          <w:szCs w:val="16"/>
        </w:rPr>
        <w:t>s:</w:t>
      </w:r>
      <w:r w:rsidRPr="009D6F55">
        <w:rPr>
          <w:rFonts w:ascii="Verdana" w:hAnsi="Verdana"/>
          <w:iCs/>
          <w:sz w:val="16"/>
          <w:szCs w:val="16"/>
        </w:rPr>
        <w:t xml:space="preserve"> </w:t>
      </w:r>
      <w:r w:rsidR="0043077B">
        <w:rPr>
          <w:rFonts w:ascii="Verdana" w:hAnsi="Verdana"/>
          <w:iCs/>
          <w:sz w:val="16"/>
          <w:szCs w:val="16"/>
        </w:rPr>
        <w:t xml:space="preserve">Austria, </w:t>
      </w:r>
      <w:r w:rsidRPr="009D6F55">
        <w:rPr>
          <w:rFonts w:ascii="Verdana" w:hAnsi="Verdana"/>
          <w:iCs/>
          <w:sz w:val="16"/>
          <w:szCs w:val="16"/>
        </w:rPr>
        <w:t xml:space="preserve">Bulgaria, </w:t>
      </w:r>
      <w:r w:rsidR="00913D3E">
        <w:rPr>
          <w:rFonts w:ascii="Verdana" w:hAnsi="Verdana"/>
          <w:iCs/>
          <w:sz w:val="16"/>
          <w:szCs w:val="16"/>
        </w:rPr>
        <w:t xml:space="preserve">Croatia, </w:t>
      </w:r>
      <w:r w:rsidRPr="009D6F55">
        <w:rPr>
          <w:rFonts w:ascii="Verdana" w:hAnsi="Verdana"/>
          <w:iCs/>
          <w:sz w:val="16"/>
          <w:szCs w:val="16"/>
        </w:rPr>
        <w:t xml:space="preserve">Czech Republic, </w:t>
      </w:r>
      <w:r w:rsidR="0043077B">
        <w:rPr>
          <w:rFonts w:ascii="Verdana" w:hAnsi="Verdana"/>
          <w:iCs/>
          <w:sz w:val="16"/>
          <w:szCs w:val="16"/>
        </w:rPr>
        <w:t xml:space="preserve">Denmark, </w:t>
      </w:r>
      <w:r w:rsidRPr="009D6F55">
        <w:rPr>
          <w:rFonts w:ascii="Verdana" w:hAnsi="Verdana"/>
          <w:iCs/>
          <w:sz w:val="16"/>
          <w:szCs w:val="16"/>
        </w:rPr>
        <w:t>Estonia, Finland, France,</w:t>
      </w:r>
      <w:r w:rsidR="00E00687">
        <w:rPr>
          <w:rFonts w:ascii="Verdana" w:hAnsi="Verdana"/>
          <w:iCs/>
          <w:sz w:val="16"/>
          <w:szCs w:val="16"/>
        </w:rPr>
        <w:t xml:space="preserve"> </w:t>
      </w:r>
      <w:r w:rsidRPr="009D6F55">
        <w:rPr>
          <w:rFonts w:ascii="Verdana" w:hAnsi="Verdana"/>
          <w:iCs/>
          <w:sz w:val="16"/>
          <w:szCs w:val="16"/>
        </w:rPr>
        <w:t xml:space="preserve">Germany, Hungary, </w:t>
      </w:r>
      <w:r w:rsidR="0043077B">
        <w:rPr>
          <w:rFonts w:ascii="Verdana" w:hAnsi="Verdana"/>
          <w:iCs/>
          <w:sz w:val="16"/>
          <w:szCs w:val="16"/>
        </w:rPr>
        <w:t>Ireland</w:t>
      </w:r>
      <w:r>
        <w:rPr>
          <w:rFonts w:ascii="Verdana" w:hAnsi="Verdana"/>
          <w:iCs/>
          <w:sz w:val="16"/>
          <w:szCs w:val="16"/>
        </w:rPr>
        <w:t xml:space="preserve">, </w:t>
      </w:r>
      <w:r w:rsidRPr="009D6F55">
        <w:rPr>
          <w:rFonts w:ascii="Verdana" w:hAnsi="Verdana"/>
          <w:iCs/>
          <w:sz w:val="16"/>
          <w:szCs w:val="16"/>
        </w:rPr>
        <w:t xml:space="preserve">Latvia, Lithuania, </w:t>
      </w:r>
      <w:r w:rsidR="0043077B">
        <w:rPr>
          <w:rFonts w:ascii="Verdana" w:hAnsi="Verdana"/>
          <w:iCs/>
          <w:sz w:val="16"/>
          <w:szCs w:val="16"/>
        </w:rPr>
        <w:t xml:space="preserve">Luxembourg, </w:t>
      </w:r>
      <w:r w:rsidRPr="009D6F55">
        <w:rPr>
          <w:rFonts w:ascii="Verdana" w:hAnsi="Verdana"/>
          <w:iCs/>
          <w:sz w:val="16"/>
          <w:szCs w:val="16"/>
        </w:rPr>
        <w:t xml:space="preserve">Poland, Portugal, </w:t>
      </w:r>
      <w:r w:rsidR="005714BC">
        <w:rPr>
          <w:rFonts w:ascii="Verdana" w:hAnsi="Verdana"/>
          <w:iCs/>
          <w:sz w:val="16"/>
          <w:szCs w:val="16"/>
        </w:rPr>
        <w:t xml:space="preserve">Slovakia, </w:t>
      </w:r>
      <w:r w:rsidRPr="009D6F55">
        <w:rPr>
          <w:rFonts w:ascii="Verdana" w:hAnsi="Verdana"/>
          <w:iCs/>
          <w:sz w:val="16"/>
          <w:szCs w:val="16"/>
        </w:rPr>
        <w:t>Slovenia, Spain, Sweden, United Kingdom. These cover around 9</w:t>
      </w:r>
      <w:r w:rsidR="00B37E3C">
        <w:rPr>
          <w:rFonts w:ascii="Verdana" w:hAnsi="Verdana"/>
          <w:iCs/>
          <w:sz w:val="16"/>
          <w:szCs w:val="16"/>
        </w:rPr>
        <w:t>0</w:t>
      </w:r>
      <w:r w:rsidRPr="009D6F55">
        <w:rPr>
          <w:rFonts w:ascii="Verdana" w:hAnsi="Verdana"/>
          <w:iCs/>
          <w:sz w:val="16"/>
          <w:szCs w:val="16"/>
        </w:rPr>
        <w:t>% of total rail freight in the EU.</w:t>
      </w:r>
    </w:p>
    <w:p w:rsidR="00953B3D" w:rsidRDefault="00953B3D" w:rsidP="00AA028C">
      <w:pPr>
        <w:ind w:right="2126"/>
        <w:rPr>
          <w:rFonts w:ascii="Verdana" w:hAnsi="Verdana"/>
          <w:iCs/>
          <w:sz w:val="16"/>
          <w:szCs w:val="16"/>
        </w:rPr>
      </w:pPr>
    </w:p>
    <w:p w:rsidR="00E76C91" w:rsidRDefault="008E0E70" w:rsidP="00797078">
      <w:pPr>
        <w:pStyle w:val="Default"/>
        <w:keepNext/>
        <w:spacing w:before="360"/>
        <w:ind w:right="2126"/>
        <w:jc w:val="center"/>
        <w:rPr>
          <w:rFonts w:ascii="Verdana" w:hAnsi="Verdana"/>
          <w:b/>
          <w:noProof/>
          <w:sz w:val="20"/>
          <w:szCs w:val="20"/>
          <w:lang w:val="en-US" w:eastAsia="zh-TW"/>
        </w:rPr>
      </w:pPr>
      <w:r>
        <w:rPr>
          <w:rFonts w:ascii="Verdana" w:hAnsi="Verdana"/>
          <w:noProof/>
          <w:sz w:val="20"/>
          <w:szCs w:val="20"/>
          <w:lang w:val="en-US" w:eastAsia="zh-TW"/>
        </w:rPr>
        <w:t>F</w:t>
      </w:r>
      <w:r w:rsidR="00E76C91" w:rsidRPr="006F4545">
        <w:rPr>
          <w:rFonts w:ascii="Verdana" w:hAnsi="Verdana"/>
          <w:noProof/>
          <w:sz w:val="20"/>
          <w:szCs w:val="20"/>
          <w:lang w:val="en-US" w:eastAsia="zh-TW"/>
        </w:rPr>
        <w:t xml:space="preserve">igure </w:t>
      </w:r>
      <w:r w:rsidR="005B34A4">
        <w:rPr>
          <w:rFonts w:ascii="Verdana" w:hAnsi="Verdana"/>
          <w:noProof/>
          <w:sz w:val="20"/>
          <w:szCs w:val="20"/>
          <w:lang w:val="en-US" w:eastAsia="zh-TW"/>
        </w:rPr>
        <w:t>9</w:t>
      </w:r>
      <w:r w:rsidR="00E76C91" w:rsidRPr="006F4545">
        <w:rPr>
          <w:rFonts w:ascii="Verdana" w:hAnsi="Verdana"/>
          <w:noProof/>
          <w:sz w:val="20"/>
          <w:szCs w:val="20"/>
          <w:lang w:val="en-US" w:eastAsia="zh-TW"/>
        </w:rPr>
        <w:t>.</w:t>
      </w:r>
      <w:r w:rsidR="00CB755D">
        <w:rPr>
          <w:rFonts w:ascii="Verdana" w:hAnsi="Verdana"/>
          <w:b/>
          <w:noProof/>
          <w:sz w:val="20"/>
          <w:szCs w:val="20"/>
          <w:lang w:val="en-US" w:eastAsia="zh-TW"/>
        </w:rPr>
        <w:t xml:space="preserve">  National and i</w:t>
      </w:r>
      <w:r w:rsidR="00E76C91" w:rsidRPr="006F4545">
        <w:rPr>
          <w:rFonts w:ascii="Verdana" w:hAnsi="Verdana"/>
          <w:b/>
          <w:noProof/>
          <w:sz w:val="20"/>
          <w:szCs w:val="20"/>
          <w:lang w:val="en-US" w:eastAsia="zh-TW"/>
        </w:rPr>
        <w:t>nternational road freight in the EU</w:t>
      </w:r>
    </w:p>
    <w:p w:rsidR="00E76C91" w:rsidRDefault="00CB755D" w:rsidP="00797078">
      <w:pPr>
        <w:pStyle w:val="Default"/>
        <w:ind w:right="2126"/>
        <w:jc w:val="center"/>
        <w:rPr>
          <w:rFonts w:ascii="Verdana" w:hAnsi="Verdana"/>
          <w:noProof/>
          <w:sz w:val="20"/>
          <w:szCs w:val="20"/>
          <w:lang w:val="en-US" w:eastAsia="zh-TW"/>
        </w:rPr>
      </w:pPr>
      <w:r>
        <w:rPr>
          <w:rFonts w:ascii="Verdana" w:hAnsi="Verdana"/>
          <w:noProof/>
          <w:sz w:val="20"/>
          <w:szCs w:val="20"/>
          <w:lang w:val="en-US" w:eastAsia="zh-TW"/>
        </w:rPr>
        <w:t>(</w:t>
      </w:r>
      <w:r w:rsidR="00840393">
        <w:rPr>
          <w:rFonts w:ascii="Verdana" w:hAnsi="Verdana"/>
          <w:noProof/>
          <w:sz w:val="20"/>
          <w:szCs w:val="20"/>
          <w:lang w:val="en-US" w:eastAsia="zh-TW"/>
        </w:rPr>
        <w:t>M</w:t>
      </w:r>
      <w:r w:rsidR="00E76C91" w:rsidRPr="006F4545">
        <w:rPr>
          <w:rFonts w:ascii="Verdana" w:hAnsi="Verdana"/>
          <w:noProof/>
          <w:sz w:val="20"/>
          <w:szCs w:val="20"/>
          <w:lang w:val="en-US" w:eastAsia="zh-TW"/>
        </w:rPr>
        <w:t>illion tonne-km</w:t>
      </w:r>
      <w:r w:rsidR="00AE5ACC" w:rsidRPr="006F4545">
        <w:rPr>
          <w:rFonts w:ascii="Verdana" w:hAnsi="Verdana"/>
          <w:noProof/>
          <w:sz w:val="20"/>
          <w:szCs w:val="20"/>
          <w:lang w:val="en-US" w:eastAsia="zh-TW"/>
        </w:rPr>
        <w:t>, trend, seasonally adjusted</w:t>
      </w:r>
      <w:r w:rsidR="00E76C91" w:rsidRPr="006F4545">
        <w:rPr>
          <w:rFonts w:ascii="Verdana" w:hAnsi="Verdana"/>
          <w:noProof/>
          <w:sz w:val="20"/>
          <w:szCs w:val="20"/>
          <w:lang w:val="en-US" w:eastAsia="zh-TW"/>
        </w:rPr>
        <w:t>)</w:t>
      </w:r>
      <w:r w:rsidR="003B62E2" w:rsidRPr="003B62E2">
        <w:rPr>
          <w:rFonts w:ascii="Verdana" w:hAnsi="Verdana"/>
          <w:noProof/>
          <w:sz w:val="20"/>
          <w:szCs w:val="20"/>
          <w:lang w:val="en-US" w:eastAsia="zh-TW"/>
        </w:rPr>
        <w:t xml:space="preserve"> </w:t>
      </w:r>
    </w:p>
    <w:p w:rsidR="00CB755D" w:rsidRDefault="00CB755D" w:rsidP="00797078">
      <w:pPr>
        <w:pStyle w:val="Default"/>
        <w:ind w:right="2126"/>
        <w:jc w:val="center"/>
        <w:rPr>
          <w:rFonts w:ascii="Verdana" w:hAnsi="Verdana"/>
          <w:noProof/>
          <w:sz w:val="20"/>
          <w:szCs w:val="20"/>
          <w:lang w:val="en-US" w:eastAsia="zh-TW"/>
        </w:rPr>
      </w:pPr>
    </w:p>
    <w:p w:rsidR="00953B3D" w:rsidRDefault="00A91C23" w:rsidP="00797078">
      <w:pPr>
        <w:pStyle w:val="Default"/>
        <w:ind w:right="2126"/>
        <w:jc w:val="center"/>
        <w:rPr>
          <w:rFonts w:ascii="Verdana" w:hAnsi="Verdana"/>
          <w:noProof/>
          <w:sz w:val="20"/>
          <w:szCs w:val="20"/>
          <w:lang w:val="en-US" w:eastAsia="zh-TW"/>
        </w:rPr>
      </w:pPr>
      <w:r w:rsidRPr="00A91C23">
        <w:rPr>
          <w:noProof/>
          <w:lang w:val="en-US" w:eastAsia="en-US"/>
        </w:rPr>
        <w:drawing>
          <wp:inline distT="0" distB="0" distL="0" distR="0">
            <wp:extent cx="4134678" cy="261499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extLst>
                        <a:ext uri="{28A0092B-C50C-407E-A947-70E740481C1C}">
                          <a14:useLocalDpi xmlns:a14="http://schemas.microsoft.com/office/drawing/2010/main" val="0"/>
                        </a:ext>
                      </a:extLst>
                    </a:blip>
                    <a:srcRect t="4285" r="6117" b="2653"/>
                    <a:stretch/>
                  </pic:blipFill>
                  <pic:spPr bwMode="auto">
                    <a:xfrm>
                      <a:off x="0" y="0"/>
                      <a:ext cx="4139520" cy="2618061"/>
                    </a:xfrm>
                    <a:prstGeom prst="rect">
                      <a:avLst/>
                    </a:prstGeom>
                    <a:noFill/>
                    <a:ln>
                      <a:noFill/>
                    </a:ln>
                    <a:extLst>
                      <a:ext uri="{53640926-AAD7-44D8-BBD7-CCE9431645EC}">
                        <a14:shadowObscured xmlns:a14="http://schemas.microsoft.com/office/drawing/2010/main"/>
                      </a:ext>
                    </a:extLst>
                  </pic:spPr>
                </pic:pic>
              </a:graphicData>
            </a:graphic>
          </wp:inline>
        </w:drawing>
      </w:r>
    </w:p>
    <w:p w:rsidR="001846FE" w:rsidRDefault="001846FE" w:rsidP="00797078">
      <w:pPr>
        <w:pStyle w:val="Default"/>
        <w:ind w:right="2126"/>
        <w:jc w:val="center"/>
        <w:rPr>
          <w:rFonts w:ascii="Verdana" w:hAnsi="Verdana"/>
          <w:noProof/>
          <w:sz w:val="20"/>
          <w:szCs w:val="20"/>
          <w:lang w:val="en-US" w:eastAsia="zh-TW"/>
        </w:rPr>
      </w:pPr>
    </w:p>
    <w:p w:rsidR="005456D7" w:rsidRPr="00D526AF" w:rsidRDefault="005456D7" w:rsidP="00797078">
      <w:pPr>
        <w:pStyle w:val="Default"/>
        <w:ind w:right="2126"/>
        <w:rPr>
          <w:rFonts w:ascii="Verdana" w:hAnsi="Verdana"/>
          <w:sz w:val="16"/>
          <w:szCs w:val="16"/>
          <w:lang w:val="en-US"/>
        </w:rPr>
      </w:pPr>
      <w:r w:rsidRPr="00D526AF">
        <w:rPr>
          <w:rFonts w:ascii="Verdana" w:hAnsi="Verdana"/>
          <w:b/>
          <w:sz w:val="16"/>
          <w:szCs w:val="16"/>
          <w:lang w:val="en-US"/>
        </w:rPr>
        <w:t>Note:</w:t>
      </w:r>
      <w:r w:rsidRPr="00D526AF">
        <w:rPr>
          <w:rFonts w:ascii="Verdana" w:hAnsi="Verdana"/>
          <w:sz w:val="16"/>
          <w:szCs w:val="16"/>
          <w:lang w:val="en-US"/>
        </w:rPr>
        <w:t xml:space="preserve"> Data on road freight in the EU area include Bulgaria,</w:t>
      </w:r>
      <w:r w:rsidR="00913D3E">
        <w:rPr>
          <w:rFonts w:ascii="Verdana" w:hAnsi="Verdana"/>
          <w:sz w:val="16"/>
          <w:szCs w:val="16"/>
          <w:lang w:val="en-US"/>
        </w:rPr>
        <w:t xml:space="preserve"> Croatia,</w:t>
      </w:r>
      <w:r w:rsidRPr="00D526AF">
        <w:rPr>
          <w:rFonts w:ascii="Verdana" w:hAnsi="Verdana"/>
          <w:sz w:val="16"/>
          <w:szCs w:val="16"/>
          <w:lang w:val="en-US"/>
        </w:rPr>
        <w:t xml:space="preserve"> </w:t>
      </w:r>
      <w:r w:rsidRPr="00D526AF">
        <w:rPr>
          <w:rFonts w:ascii="Verdana" w:hAnsi="Verdana"/>
          <w:noProof/>
          <w:sz w:val="16"/>
          <w:szCs w:val="16"/>
          <w:lang w:val="en-US"/>
        </w:rPr>
        <w:t xml:space="preserve">Czech Republic, Denmark, </w:t>
      </w:r>
      <w:r w:rsidR="003B62E2">
        <w:rPr>
          <w:rFonts w:ascii="Verdana" w:hAnsi="Verdana"/>
          <w:noProof/>
          <w:sz w:val="16"/>
          <w:szCs w:val="16"/>
          <w:lang w:val="en-US"/>
        </w:rPr>
        <w:t xml:space="preserve">Estonia, </w:t>
      </w:r>
      <w:r w:rsidR="00E44BCD" w:rsidRPr="00D526AF">
        <w:rPr>
          <w:rFonts w:ascii="Verdana" w:hAnsi="Verdana"/>
          <w:noProof/>
          <w:sz w:val="16"/>
          <w:szCs w:val="16"/>
          <w:lang w:val="en-US"/>
        </w:rPr>
        <w:t xml:space="preserve">Finland, </w:t>
      </w:r>
      <w:r w:rsidR="00913D3E">
        <w:rPr>
          <w:rFonts w:ascii="Verdana" w:hAnsi="Verdana"/>
          <w:noProof/>
          <w:sz w:val="16"/>
          <w:szCs w:val="16"/>
          <w:lang w:val="en-US"/>
        </w:rPr>
        <w:t xml:space="preserve">France, </w:t>
      </w:r>
      <w:r w:rsidRPr="00D526AF">
        <w:rPr>
          <w:rFonts w:ascii="Verdana" w:hAnsi="Verdana"/>
          <w:noProof/>
          <w:sz w:val="16"/>
          <w:szCs w:val="16"/>
          <w:lang w:val="en-US"/>
        </w:rPr>
        <w:t>Germany, Hungary, Latvia, Lithuania,</w:t>
      </w:r>
      <w:r w:rsidR="00146B54">
        <w:rPr>
          <w:rFonts w:ascii="Verdana" w:hAnsi="Verdana"/>
          <w:noProof/>
          <w:sz w:val="16"/>
          <w:szCs w:val="16"/>
          <w:lang w:val="en-US"/>
        </w:rPr>
        <w:t xml:space="preserve"> </w:t>
      </w:r>
      <w:r w:rsidR="005714BC">
        <w:rPr>
          <w:rFonts w:ascii="Verdana" w:hAnsi="Verdana"/>
          <w:noProof/>
          <w:sz w:val="16"/>
          <w:szCs w:val="16"/>
          <w:lang w:val="en-US"/>
        </w:rPr>
        <w:t>P</w:t>
      </w:r>
      <w:r w:rsidRPr="00D526AF">
        <w:rPr>
          <w:rFonts w:ascii="Verdana" w:hAnsi="Verdana"/>
          <w:noProof/>
          <w:sz w:val="16"/>
          <w:szCs w:val="16"/>
          <w:lang w:val="en-US"/>
        </w:rPr>
        <w:t>oland,</w:t>
      </w:r>
      <w:r w:rsidR="0043077B">
        <w:rPr>
          <w:rFonts w:ascii="Verdana" w:hAnsi="Verdana"/>
          <w:noProof/>
          <w:sz w:val="16"/>
          <w:szCs w:val="16"/>
          <w:lang w:val="en-US"/>
        </w:rPr>
        <w:t xml:space="preserve"> </w:t>
      </w:r>
      <w:r w:rsidRPr="00D526AF">
        <w:rPr>
          <w:rFonts w:ascii="Verdana" w:hAnsi="Verdana"/>
          <w:noProof/>
          <w:sz w:val="16"/>
          <w:szCs w:val="16"/>
          <w:lang w:val="en-US"/>
        </w:rPr>
        <w:t>Slovakia</w:t>
      </w:r>
      <w:r w:rsidR="00B37E3C">
        <w:rPr>
          <w:rFonts w:ascii="Verdana" w:hAnsi="Verdana"/>
          <w:noProof/>
          <w:sz w:val="16"/>
          <w:szCs w:val="16"/>
          <w:lang w:val="en-US"/>
        </w:rPr>
        <w:t xml:space="preserve">, </w:t>
      </w:r>
      <w:r w:rsidRPr="00D526AF">
        <w:rPr>
          <w:rFonts w:ascii="Verdana" w:hAnsi="Verdana"/>
          <w:noProof/>
          <w:sz w:val="16"/>
          <w:szCs w:val="16"/>
          <w:lang w:val="en-US"/>
        </w:rPr>
        <w:t>Spain</w:t>
      </w:r>
      <w:r w:rsidR="0043077B">
        <w:rPr>
          <w:rFonts w:ascii="Verdana" w:hAnsi="Verdana"/>
          <w:noProof/>
          <w:sz w:val="16"/>
          <w:szCs w:val="16"/>
          <w:lang w:val="en-US"/>
        </w:rPr>
        <w:t>, Sweden</w:t>
      </w:r>
      <w:r w:rsidRPr="00D526AF">
        <w:rPr>
          <w:rFonts w:ascii="Verdana" w:hAnsi="Verdana"/>
          <w:noProof/>
          <w:sz w:val="16"/>
          <w:szCs w:val="16"/>
          <w:lang w:val="en-US"/>
        </w:rPr>
        <w:t xml:space="preserve">. These cover around </w:t>
      </w:r>
      <w:r w:rsidR="00D62A35">
        <w:rPr>
          <w:rFonts w:ascii="Verdana" w:hAnsi="Verdana"/>
          <w:noProof/>
          <w:sz w:val="16"/>
          <w:szCs w:val="16"/>
          <w:lang w:val="en-US"/>
        </w:rPr>
        <w:t>7</w:t>
      </w:r>
      <w:r w:rsidRPr="00D526AF">
        <w:rPr>
          <w:rFonts w:ascii="Verdana" w:hAnsi="Verdana"/>
          <w:noProof/>
          <w:sz w:val="16"/>
          <w:szCs w:val="16"/>
          <w:lang w:val="en-US"/>
        </w:rPr>
        <w:t xml:space="preserve">5% of total road freight in the EU. </w:t>
      </w:r>
    </w:p>
    <w:p w:rsidR="00C34336" w:rsidRDefault="00C34336" w:rsidP="00797078">
      <w:pPr>
        <w:pStyle w:val="Default"/>
        <w:keepNext/>
        <w:ind w:right="2126"/>
        <w:jc w:val="center"/>
        <w:rPr>
          <w:rFonts w:ascii="Verdana" w:hAnsi="Verdana"/>
          <w:noProof/>
          <w:sz w:val="16"/>
          <w:szCs w:val="16"/>
          <w:lang w:val="en-US" w:eastAsia="zh-TW"/>
        </w:rPr>
      </w:pPr>
    </w:p>
    <w:p w:rsidR="00D023BC" w:rsidRDefault="00D023BC" w:rsidP="00797078">
      <w:pPr>
        <w:pStyle w:val="Default"/>
        <w:keepNext/>
        <w:ind w:right="2126"/>
        <w:jc w:val="center"/>
        <w:rPr>
          <w:rFonts w:ascii="Verdana" w:hAnsi="Verdana"/>
          <w:noProof/>
          <w:sz w:val="16"/>
          <w:szCs w:val="16"/>
          <w:lang w:val="en-US" w:eastAsia="zh-TW"/>
        </w:rPr>
      </w:pPr>
    </w:p>
    <w:tbl>
      <w:tblPr>
        <w:tblW w:w="0" w:type="auto"/>
        <w:tblInd w:w="10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4A0" w:firstRow="1" w:lastRow="0" w:firstColumn="1" w:lastColumn="0" w:noHBand="0" w:noVBand="1"/>
      </w:tblPr>
      <w:tblGrid>
        <w:gridCol w:w="8080"/>
      </w:tblGrid>
      <w:tr w:rsidR="00B437A8" w:rsidRPr="006F4545" w:rsidTr="007F1156">
        <w:tc>
          <w:tcPr>
            <w:tcW w:w="8080" w:type="dxa"/>
          </w:tcPr>
          <w:p w:rsidR="00B437A8" w:rsidRPr="002A2E47" w:rsidRDefault="00D023BC" w:rsidP="00797078">
            <w:pPr>
              <w:spacing w:before="120"/>
              <w:ind w:right="34"/>
              <w:jc w:val="both"/>
              <w:rPr>
                <w:rFonts w:ascii="Verdana" w:hAnsi="Verdana"/>
                <w:b/>
                <w:noProof/>
                <w:sz w:val="16"/>
                <w:szCs w:val="16"/>
              </w:rPr>
            </w:pPr>
            <w:r>
              <w:rPr>
                <w:rFonts w:ascii="Verdana" w:hAnsi="Verdana"/>
                <w:noProof/>
                <w:sz w:val="16"/>
                <w:szCs w:val="16"/>
                <w:lang w:val="en-US" w:eastAsia="zh-TW"/>
              </w:rPr>
              <w:br w:type="page"/>
            </w:r>
            <w:r w:rsidR="00B437A8" w:rsidRPr="002A2E47">
              <w:rPr>
                <w:rFonts w:ascii="Verdana" w:hAnsi="Verdana"/>
                <w:b/>
                <w:noProof/>
                <w:sz w:val="16"/>
                <w:szCs w:val="16"/>
              </w:rPr>
              <w:t>Methodological note</w:t>
            </w:r>
          </w:p>
          <w:p w:rsidR="00B437A8" w:rsidRPr="002A2E47" w:rsidRDefault="00B437A8" w:rsidP="00797078">
            <w:pPr>
              <w:ind w:right="34"/>
              <w:jc w:val="both"/>
              <w:rPr>
                <w:rFonts w:ascii="Verdana" w:hAnsi="Verdana"/>
                <w:noProof/>
                <w:sz w:val="16"/>
                <w:szCs w:val="16"/>
              </w:rPr>
            </w:pPr>
            <w:r w:rsidRPr="002A2E47">
              <w:rPr>
                <w:rFonts w:ascii="Verdana" w:hAnsi="Verdana"/>
                <w:noProof/>
                <w:sz w:val="16"/>
                <w:szCs w:val="16"/>
              </w:rPr>
              <w:t xml:space="preserve">The International Transport Forum Statistics Brief on Global Trade and Transport presents the latest global freight transport trends based on the Global Trade and Transport Database and the ITF Quarterly Transport Statistics. These data are collected by the Secretariat through a questionnaire and from external sources, including Eurostat, US Census and Japan Customs. National data are seasonally adjusted by the International Transport Forum Secretariat for analytical purposes. </w:t>
            </w:r>
          </w:p>
          <w:p w:rsidR="00B437A8" w:rsidRPr="002A2E47" w:rsidRDefault="00B437A8" w:rsidP="00797078">
            <w:pPr>
              <w:ind w:right="34"/>
              <w:jc w:val="both"/>
              <w:rPr>
                <w:rFonts w:ascii="Verdana" w:hAnsi="Verdana"/>
                <w:noProof/>
                <w:sz w:val="16"/>
                <w:szCs w:val="16"/>
              </w:rPr>
            </w:pPr>
            <w:r w:rsidRPr="002A2E47">
              <w:rPr>
                <w:rFonts w:ascii="Verdana" w:hAnsi="Verdana"/>
                <w:noProof/>
                <w:sz w:val="16"/>
                <w:szCs w:val="16"/>
              </w:rPr>
              <w:t>Short-term data is normally compiled to allow timely identification of changes in any indicator and especially to identify possible turning points. However, monthly or quarterly transport statistics are often characteri</w:t>
            </w:r>
            <w:r w:rsidR="00321EFA" w:rsidRPr="002A2E47">
              <w:rPr>
                <w:rFonts w:ascii="Verdana" w:hAnsi="Verdana"/>
                <w:noProof/>
                <w:sz w:val="16"/>
                <w:szCs w:val="16"/>
              </w:rPr>
              <w:t>s</w:t>
            </w:r>
            <w:r w:rsidRPr="002A2E47">
              <w:rPr>
                <w:rFonts w:ascii="Verdana" w:hAnsi="Verdana"/>
                <w:noProof/>
                <w:sz w:val="16"/>
                <w:szCs w:val="16"/>
              </w:rPr>
              <w:t>ed by seasonal patterns. Seasonal adjustment filters out usual seasonal fluctuations that recur with similar intensity in the same season every year. Trend, in turn, excludes also other irregular factors (such as strikes and impact of weather) from a time series. A time series from which the seasonal variations have been eliminated basically allows for the comparison of data between two quarters for which seasonal patterns are different, also helping to identify turning points and the underlying direction of the change.</w:t>
            </w:r>
          </w:p>
          <w:p w:rsidR="00B437A8" w:rsidRPr="002A2E47" w:rsidRDefault="00B437A8" w:rsidP="00797078">
            <w:pPr>
              <w:ind w:right="34"/>
              <w:jc w:val="both"/>
              <w:rPr>
                <w:rFonts w:ascii="Verdana" w:hAnsi="Verdana"/>
                <w:noProof/>
                <w:sz w:val="16"/>
                <w:szCs w:val="16"/>
              </w:rPr>
            </w:pPr>
            <w:r w:rsidRPr="002A2E47">
              <w:rPr>
                <w:rFonts w:ascii="Verdana" w:hAnsi="Verdana"/>
                <w:noProof/>
                <w:sz w:val="16"/>
                <w:szCs w:val="16"/>
              </w:rPr>
              <w:t>Seasonal adjustment is carried out with the Demetra program using the TRAMO/SEATS adjustment method. Seasonally adjusted estimates may differ from those produced by national authorities due to differences in the adjustment methodology.</w:t>
            </w:r>
          </w:p>
          <w:p w:rsidR="00E32F8A" w:rsidRPr="006F4545" w:rsidRDefault="00E32F8A" w:rsidP="00797078">
            <w:pPr>
              <w:spacing w:after="120"/>
              <w:ind w:right="34"/>
              <w:jc w:val="both"/>
              <w:rPr>
                <w:rFonts w:ascii="Verdana" w:hAnsi="Verdana"/>
                <w:b/>
                <w:noProof/>
                <w:sz w:val="16"/>
                <w:szCs w:val="16"/>
              </w:rPr>
            </w:pPr>
            <w:r w:rsidRPr="002A2E47">
              <w:rPr>
                <w:rFonts w:ascii="Verdana" w:hAnsi="Verdana"/>
                <w:noProof/>
                <w:sz w:val="16"/>
                <w:szCs w:val="16"/>
              </w:rPr>
              <w:t xml:space="preserve">For more detailed description of methodology, </w:t>
            </w:r>
            <w:hyperlink r:id="rId18" w:history="1">
              <w:r w:rsidRPr="002A2E47">
                <w:rPr>
                  <w:rStyle w:val="Hyperlink"/>
                  <w:rFonts w:ascii="Verdana" w:hAnsi="Verdana"/>
                  <w:noProof/>
                  <w:sz w:val="16"/>
                  <w:szCs w:val="16"/>
                </w:rPr>
                <w:t>click here</w:t>
              </w:r>
            </w:hyperlink>
            <w:r w:rsidRPr="002A2E47">
              <w:rPr>
                <w:rFonts w:ascii="Verdana" w:hAnsi="Verdana"/>
                <w:noProof/>
                <w:sz w:val="16"/>
                <w:szCs w:val="16"/>
              </w:rPr>
              <w:t>.</w:t>
            </w:r>
          </w:p>
        </w:tc>
      </w:tr>
    </w:tbl>
    <w:p w:rsidR="00D526AF" w:rsidRPr="00966788" w:rsidRDefault="00D526AF" w:rsidP="00797078">
      <w:pPr>
        <w:pStyle w:val="Default"/>
        <w:spacing w:before="240"/>
        <w:ind w:right="2126"/>
        <w:rPr>
          <w:rFonts w:ascii="Verdana" w:hAnsi="Verdana"/>
          <w:noProof/>
          <w:sz w:val="20"/>
          <w:szCs w:val="20"/>
          <w:lang w:val="en-US"/>
        </w:rPr>
      </w:pPr>
      <w:r w:rsidRPr="006F4545">
        <w:rPr>
          <w:rFonts w:ascii="Verdana" w:hAnsi="Verdana"/>
          <w:noProof/>
          <w:sz w:val="20"/>
          <w:szCs w:val="20"/>
          <w:lang w:val="en-US" w:eastAsia="zh-TW"/>
        </w:rPr>
        <w:t xml:space="preserve">If you would like to receive further issues of the Statistics Brief or more information, </w:t>
      </w:r>
      <w:r w:rsidRPr="006F4545">
        <w:rPr>
          <w:rFonts w:ascii="Verdana" w:hAnsi="Verdana"/>
          <w:noProof/>
          <w:sz w:val="20"/>
          <w:szCs w:val="20"/>
        </w:rPr>
        <w:t xml:space="preserve">please contact: </w:t>
      </w:r>
      <w:r>
        <w:rPr>
          <w:rFonts w:ascii="Verdana" w:hAnsi="Verdana"/>
          <w:noProof/>
          <w:sz w:val="20"/>
          <w:szCs w:val="20"/>
        </w:rPr>
        <w:t>Mr Edouard Chong (</w:t>
      </w:r>
      <w:hyperlink r:id="rId19" w:history="1">
        <w:r w:rsidRPr="00161D7B">
          <w:rPr>
            <w:rStyle w:val="Hyperlink"/>
            <w:rFonts w:ascii="Verdana" w:hAnsi="Verdana"/>
            <w:noProof/>
            <w:sz w:val="20"/>
            <w:szCs w:val="20"/>
          </w:rPr>
          <w:t>edouard.chong@oecd.org</w:t>
        </w:r>
      </w:hyperlink>
      <w:r>
        <w:rPr>
          <w:rFonts w:ascii="Verdana" w:hAnsi="Verdana"/>
          <w:noProof/>
          <w:sz w:val="20"/>
          <w:szCs w:val="20"/>
        </w:rPr>
        <w:t xml:space="preserve">) </w:t>
      </w:r>
      <w:r w:rsidRPr="00966788">
        <w:rPr>
          <w:rFonts w:ascii="Verdana" w:hAnsi="Verdana"/>
          <w:noProof/>
          <w:sz w:val="20"/>
          <w:szCs w:val="20"/>
          <w:lang w:val="en-US"/>
        </w:rPr>
        <w:t>or Mr Jari Kauppila (</w:t>
      </w:r>
      <w:hyperlink r:id="rId20" w:history="1">
        <w:r w:rsidRPr="00966788">
          <w:rPr>
            <w:rStyle w:val="Hyperlink"/>
            <w:rFonts w:ascii="Verdana" w:hAnsi="Verdana"/>
            <w:noProof/>
            <w:sz w:val="20"/>
            <w:szCs w:val="20"/>
            <w:lang w:val="en-US"/>
          </w:rPr>
          <w:t>jari.kauppila@oecd.org</w:t>
        </w:r>
      </w:hyperlink>
      <w:r w:rsidRPr="00966788">
        <w:rPr>
          <w:rFonts w:ascii="Verdana" w:hAnsi="Verdana"/>
          <w:noProof/>
          <w:sz w:val="20"/>
          <w:szCs w:val="20"/>
          <w:lang w:val="en-US"/>
        </w:rPr>
        <w:t xml:space="preserve">). </w:t>
      </w:r>
    </w:p>
    <w:p w:rsidR="00D526AF" w:rsidRDefault="00D526AF" w:rsidP="00797078">
      <w:pPr>
        <w:pStyle w:val="Default"/>
        <w:spacing w:before="240"/>
        <w:ind w:right="2126"/>
        <w:rPr>
          <w:rFonts w:ascii="Verdana" w:hAnsi="Verdana"/>
          <w:sz w:val="20"/>
          <w:szCs w:val="20"/>
        </w:rPr>
      </w:pPr>
      <w:r w:rsidRPr="006F4545">
        <w:rPr>
          <w:rFonts w:ascii="Verdana" w:hAnsi="Verdana"/>
          <w:noProof/>
          <w:sz w:val="20"/>
          <w:szCs w:val="20"/>
        </w:rPr>
        <w:t xml:space="preserve">For additional information on our transport statistics, go to </w:t>
      </w:r>
      <w:hyperlink r:id="rId21" w:history="1">
        <w:r w:rsidRPr="006F4545">
          <w:rPr>
            <w:rStyle w:val="Hyperlink"/>
            <w:rFonts w:ascii="Verdana" w:hAnsi="Verdana"/>
            <w:sz w:val="20"/>
            <w:szCs w:val="20"/>
          </w:rPr>
          <w:t>www.internationaltransportforum.org/statistics/shortterm/index.html</w:t>
        </w:r>
      </w:hyperlink>
      <w:r w:rsidRPr="006F4545">
        <w:rPr>
          <w:rFonts w:ascii="Verdana" w:hAnsi="Verdana"/>
          <w:sz w:val="20"/>
          <w:szCs w:val="20"/>
        </w:rPr>
        <w:t>.</w:t>
      </w:r>
    </w:p>
    <w:p w:rsidR="00E312B0" w:rsidRDefault="00E312B0" w:rsidP="00797078">
      <w:pPr>
        <w:pStyle w:val="Default"/>
        <w:spacing w:before="240"/>
        <w:ind w:right="2126"/>
        <w:rPr>
          <w:rFonts w:ascii="Verdana" w:hAnsi="Verdana"/>
          <w:sz w:val="20"/>
          <w:szCs w:val="20"/>
        </w:rPr>
      </w:pPr>
    </w:p>
    <w:p w:rsidR="00E312B0" w:rsidRDefault="00E312B0" w:rsidP="00797078">
      <w:pPr>
        <w:pStyle w:val="Default"/>
        <w:spacing w:before="240"/>
        <w:ind w:right="2126"/>
        <w:rPr>
          <w:rFonts w:ascii="Verdana" w:hAnsi="Verdana"/>
          <w:sz w:val="20"/>
          <w:szCs w:val="20"/>
        </w:rPr>
      </w:pPr>
    </w:p>
    <w:p w:rsidR="00E312B0" w:rsidRDefault="00E312B0" w:rsidP="00797078">
      <w:pPr>
        <w:pStyle w:val="Default"/>
        <w:spacing w:before="240"/>
        <w:ind w:right="2126"/>
        <w:rPr>
          <w:rFonts w:ascii="Verdana" w:hAnsi="Verdana"/>
          <w:sz w:val="20"/>
          <w:szCs w:val="20"/>
        </w:rPr>
      </w:pPr>
    </w:p>
    <w:p w:rsidR="00E312B0" w:rsidRDefault="00E312B0" w:rsidP="00797078">
      <w:pPr>
        <w:pStyle w:val="Default"/>
        <w:spacing w:before="240"/>
        <w:ind w:right="2126"/>
        <w:rPr>
          <w:rFonts w:ascii="Verdana" w:hAnsi="Verdana"/>
          <w:sz w:val="20"/>
          <w:szCs w:val="20"/>
        </w:rPr>
      </w:pPr>
    </w:p>
    <w:sectPr w:rsidR="00E312B0" w:rsidSect="00D526AF">
      <w:headerReference w:type="default" r:id="rId22"/>
      <w:footerReference w:type="default" r:id="rId23"/>
      <w:headerReference w:type="first" r:id="rId24"/>
      <w:footerReference w:type="first" r:id="rId25"/>
      <w:pgSz w:w="11900" w:h="16840"/>
      <w:pgMar w:top="1474" w:right="134" w:bottom="567" w:left="851" w:header="85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8C" w:rsidRDefault="006A678C" w:rsidP="00471655">
      <w:pPr>
        <w:spacing w:after="0"/>
      </w:pPr>
      <w:r>
        <w:separator/>
      </w:r>
    </w:p>
  </w:endnote>
  <w:endnote w:type="continuationSeparator" w:id="0">
    <w:p w:rsidR="006A678C" w:rsidRDefault="006A678C" w:rsidP="004716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F2" w:rsidRDefault="007D2C90">
    <w:r>
      <w:rPr>
        <w:noProof/>
        <w:lang w:val="en-US"/>
      </w:rPr>
      <w:pict>
        <v:group id="_x0000_s2057" style="position:absolute;margin-left:422.8pt;margin-top:15pt;width:95.35pt;height:51.35pt;z-index:251659776" coordorigin="9426,15741" coordsize="1907,1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9426;top:15741;width:1907;height:1027;mso-wrap-edited:f" wrapcoords="-170 0 -170 20964 21600 20964 21600 0 -170 0">
            <v:imagedata r:id="rId1" o:title="OECD&amp;lines3"/>
          </v:shape>
          <v:rect id="_x0000_s2059" style="position:absolute;left:10613;top:16048;width:720;height:720" filled="f" stroked="f">
            <v:fill o:detectmouseclick="t"/>
            <v:textbox style="mso-next-textbox:#_x0000_s2059" inset=",7.2pt,,7.2pt">
              <w:txbxContent>
                <w:p w:rsidR="004A6DF2" w:rsidRPr="00BD456C" w:rsidRDefault="00DB2F34" w:rsidP="00471655">
                  <w:pPr>
                    <w:jc w:val="right"/>
                    <w:rPr>
                      <w:rFonts w:ascii="Verdana" w:hAnsi="Verdana"/>
                      <w:sz w:val="18"/>
                      <w:szCs w:val="18"/>
                    </w:rPr>
                  </w:pPr>
                  <w:r w:rsidRPr="00BD456C">
                    <w:rPr>
                      <w:rStyle w:val="PageNumber"/>
                      <w:rFonts w:ascii="Verdana" w:hAnsi="Verdana"/>
                      <w:sz w:val="18"/>
                      <w:szCs w:val="18"/>
                    </w:rPr>
                    <w:fldChar w:fldCharType="begin"/>
                  </w:r>
                  <w:r w:rsidR="004A6DF2" w:rsidRPr="00BD456C">
                    <w:rPr>
                      <w:rStyle w:val="PageNumber"/>
                      <w:rFonts w:ascii="Verdana" w:hAnsi="Verdana"/>
                      <w:sz w:val="18"/>
                      <w:szCs w:val="18"/>
                    </w:rPr>
                    <w:instrText xml:space="preserve"> PAGE </w:instrText>
                  </w:r>
                  <w:r w:rsidRPr="00BD456C">
                    <w:rPr>
                      <w:rStyle w:val="PageNumber"/>
                      <w:rFonts w:ascii="Verdana" w:hAnsi="Verdana"/>
                      <w:sz w:val="18"/>
                      <w:szCs w:val="18"/>
                    </w:rPr>
                    <w:fldChar w:fldCharType="separate"/>
                  </w:r>
                  <w:r w:rsidR="007D2C90">
                    <w:rPr>
                      <w:rStyle w:val="PageNumber"/>
                      <w:rFonts w:ascii="Verdana" w:hAnsi="Verdana"/>
                      <w:noProof/>
                      <w:sz w:val="18"/>
                      <w:szCs w:val="18"/>
                    </w:rPr>
                    <w:t>7</w:t>
                  </w:r>
                  <w:r w:rsidRPr="00BD456C">
                    <w:rPr>
                      <w:rStyle w:val="PageNumber"/>
                      <w:rFonts w:ascii="Verdana" w:hAnsi="Verdana"/>
                      <w:sz w:val="18"/>
                      <w:szCs w:val="18"/>
                    </w:rPr>
                    <w:fldChar w:fldCharType="end"/>
                  </w:r>
                </w:p>
              </w:txbxContent>
            </v:textbox>
          </v:rect>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F2" w:rsidRDefault="004A6DF2">
    <w:pPr>
      <w:pStyle w:val="Footer"/>
    </w:pPr>
  </w:p>
  <w:p w:rsidR="004A6DF2" w:rsidRDefault="007D2C90">
    <w:pPr>
      <w:pStyle w:val="Footer"/>
    </w:pPr>
    <w:r>
      <w:rPr>
        <w:noProof/>
        <w:lang w:val="en-US"/>
      </w:rPr>
      <w:pict>
        <v:group id="_x0000_s2060" style="position:absolute;margin-left:425.4pt;margin-top:5pt;width:95.35pt;height:51.35pt;z-index:251660800" coordorigin="9426,15741" coordsize="1907,1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9426;top:15741;width:1907;height:1027;mso-wrap-edited:f" wrapcoords="-170 0 -170 20964 21600 20964 21600 0 -170 0">
            <v:imagedata r:id="rId1" o:title="OECD&amp;lines3"/>
          </v:shape>
          <v:rect id="_x0000_s2062" style="position:absolute;left:10613;top:16048;width:720;height:720" filled="f" stroked="f">
            <v:fill o:detectmouseclick="t"/>
            <v:textbox style="mso-next-textbox:#_x0000_s2062" inset=",7.2pt,,7.2pt">
              <w:txbxContent>
                <w:p w:rsidR="004A6DF2" w:rsidRPr="00BD456C" w:rsidRDefault="00DB2F34" w:rsidP="00471655">
                  <w:pPr>
                    <w:jc w:val="right"/>
                    <w:rPr>
                      <w:rFonts w:ascii="Verdana" w:hAnsi="Verdana"/>
                      <w:sz w:val="18"/>
                      <w:szCs w:val="18"/>
                    </w:rPr>
                  </w:pPr>
                  <w:r w:rsidRPr="00BD456C">
                    <w:rPr>
                      <w:rStyle w:val="PageNumber"/>
                      <w:rFonts w:ascii="Verdana" w:hAnsi="Verdana"/>
                      <w:sz w:val="18"/>
                      <w:szCs w:val="18"/>
                    </w:rPr>
                    <w:fldChar w:fldCharType="begin"/>
                  </w:r>
                  <w:r w:rsidR="004A6DF2" w:rsidRPr="00BD456C">
                    <w:rPr>
                      <w:rStyle w:val="PageNumber"/>
                      <w:rFonts w:ascii="Verdana" w:hAnsi="Verdana"/>
                      <w:sz w:val="18"/>
                      <w:szCs w:val="18"/>
                    </w:rPr>
                    <w:instrText xml:space="preserve"> PAGE </w:instrText>
                  </w:r>
                  <w:r w:rsidRPr="00BD456C">
                    <w:rPr>
                      <w:rStyle w:val="PageNumber"/>
                      <w:rFonts w:ascii="Verdana" w:hAnsi="Verdana"/>
                      <w:sz w:val="18"/>
                      <w:szCs w:val="18"/>
                    </w:rPr>
                    <w:fldChar w:fldCharType="separate"/>
                  </w:r>
                  <w:r w:rsidR="007D2C90">
                    <w:rPr>
                      <w:rStyle w:val="PageNumber"/>
                      <w:rFonts w:ascii="Verdana" w:hAnsi="Verdana"/>
                      <w:noProof/>
                      <w:sz w:val="18"/>
                      <w:szCs w:val="18"/>
                    </w:rPr>
                    <w:t>1</w:t>
                  </w:r>
                  <w:r w:rsidRPr="00BD456C">
                    <w:rPr>
                      <w:rStyle w:val="PageNumber"/>
                      <w:rFonts w:ascii="Verdana" w:hAnsi="Verdana"/>
                      <w:sz w:val="18"/>
                      <w:szCs w:val="18"/>
                    </w:rPr>
                    <w:fldChar w:fldCharType="end"/>
                  </w:r>
                </w:p>
              </w:txbxContent>
            </v:textbox>
          </v:rec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8C" w:rsidRDefault="006A678C" w:rsidP="00471655">
      <w:pPr>
        <w:spacing w:after="0"/>
      </w:pPr>
      <w:r>
        <w:separator/>
      </w:r>
    </w:p>
  </w:footnote>
  <w:footnote w:type="continuationSeparator" w:id="0">
    <w:p w:rsidR="006A678C" w:rsidRDefault="006A678C" w:rsidP="004716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F2" w:rsidRDefault="007D2C90" w:rsidP="00471655">
    <w:pPr>
      <w:pStyle w:val="Header"/>
    </w:pPr>
    <w:r>
      <w:rPr>
        <w:noProof/>
        <w:lang w:val="en-US"/>
      </w:rPr>
      <w:pict>
        <v:rect id="_x0000_s2056" style="position:absolute;margin-left:255.7pt;margin-top:-152.25pt;width:3.4pt;height:429.75pt;rotation:90;flip:y;z-index:-251658752;mso-position-horizontal-relative:page;mso-position-vertical-relative:page" fillcolor="#003e7e" stroked="f" strokecolor="#4a7ebb" strokeweight="1.5pt">
          <v:fill o:detectmouseclick="t"/>
          <v:shadow opacity="22938f" offset="0"/>
          <v:textbox inset=",7.2pt,,7.2pt"/>
          <w10:wrap anchorx="page" anchory="page"/>
        </v:rect>
      </w:pict>
    </w:r>
    <w:r w:rsidR="004A6DF2">
      <w:rPr>
        <w:noProof/>
        <w:lang w:val="en-US"/>
      </w:rPr>
      <w:drawing>
        <wp:anchor distT="0" distB="0" distL="114300" distR="114300" simplePos="0" relativeHeight="251658752" behindDoc="1" locked="0" layoutInCell="1" allowOverlap="1">
          <wp:simplePos x="0" y="0"/>
          <wp:positionH relativeFrom="page">
            <wp:posOffset>549910</wp:posOffset>
          </wp:positionH>
          <wp:positionV relativeFrom="page">
            <wp:posOffset>201930</wp:posOffset>
          </wp:positionV>
          <wp:extent cx="1847215" cy="467995"/>
          <wp:effectExtent l="19050" t="0" r="635" b="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
                  <a:srcRect r="29346"/>
                  <a:stretch>
                    <a:fillRect/>
                  </a:stretch>
                </pic:blipFill>
                <pic:spPr bwMode="auto">
                  <a:xfrm>
                    <a:off x="0" y="0"/>
                    <a:ext cx="1847215" cy="467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F2" w:rsidRDefault="007D2C90" w:rsidP="00471655">
    <w:pPr>
      <w:pStyle w:val="Header"/>
      <w:ind w:left="3408"/>
    </w:pPr>
    <w:r>
      <w:rPr>
        <w:noProof/>
        <w:lang w:eastAsia="en-GB"/>
      </w:rPr>
      <w:pict>
        <v:rect id="_x0000_s2064" style="position:absolute;left:0;text-align:left;margin-left:514.15pt;margin-top:151.7pt;width:48.95pt;height:7.55pt;z-index:251662848;mso-wrap-edited:f;mso-position-horizontal-relative:page;mso-position-vertical-relative:page" wrapcoords="-229 0 -229 16800 21600 16800 21600 0 -229 0" fillcolor="#939598" stroked="f" strokecolor="#4a7ebb" strokeweight="1.5pt">
          <v:fill o:detectmouseclick="t"/>
          <v:shadow opacity="22938f" offset="0"/>
          <v:textbox inset=",7.2pt,,7.2pt"/>
          <w10:wrap anchorx="page" anchory="page"/>
        </v:rect>
      </w:pict>
    </w:r>
    <w:r>
      <w:rPr>
        <w:noProof/>
        <w:lang w:eastAsia="en-GB"/>
      </w:rPr>
      <w:pict>
        <v:rect id="_x0000_s2063" style="position:absolute;left:0;text-align:left;margin-left:465.15pt;margin-top:151.7pt;width:48.95pt;height:7.55pt;z-index:251661824;mso-wrap-edited:f;mso-position-horizontal-relative:page;mso-position-vertical-relative:page" wrapcoords="-229 0 -229 16800 21600 16800 21600 0 -229 0" fillcolor="#007dc3" stroked="f" strokecolor="#4a7ebb" strokeweight="1.5pt">
          <v:fill o:detectmouseclick="t"/>
          <v:shadow opacity="22938f" offset="0"/>
          <v:textbox inset=",7.2pt,,7.2pt"/>
          <w10:wrap anchorx="page" anchory="page"/>
        </v:rect>
      </w:pict>
    </w:r>
    <w:r>
      <w:rPr>
        <w:noProof/>
        <w:lang w:eastAsia="en-GB"/>
      </w:rPr>
      <w:pict>
        <v:group id="_x0000_s2049" style="position:absolute;left:0;text-align:left;margin-left:0;margin-top:26.15pt;width:520.85pt;height:90.55pt;z-index:251652608" coordorigin="567,1472" coordsize="10773,1986">
          <v:rect id="_x0000_s2050" style="position:absolute;left:567;top:1474;width:10773;height:1984;mso-wrap-edited:f;mso-wrap-distance-bottom:5mm;mso-position-horizontal-relative:page;mso-position-vertical-relative:page" wrapcoords="-32 -150 -32 21450 21632 21450 21632 -150 -32 -150" fillcolor="#7bc143" stroked="f" strokecolor="#4a7ebb" strokeweight="1.5pt">
            <v:fill o:detectmouseclick="t"/>
            <v:shadow opacity="22938f" offset="0"/>
            <v:textbox inset=",7.2pt,,7.2pt"/>
          </v:rect>
          <v:rect id="_x0000_s2051" style="position:absolute;left:567;top:3323;width:6406;height:135;mso-position-horizontal-relative:page;mso-position-vertical-relative:page" fillcolor="#93b633" stroked="f" strokecolor="#4a7ebb" strokeweight="1.5pt">
            <v:fill o:detectmouseclick="t"/>
            <v:shadow opacity="22938f" offset="0"/>
            <v:textbox inset=",7.2pt,,7.2pt"/>
          </v:rect>
          <v:rect id="_x0000_s2052" style="position:absolute;left:5919;top:-3877;width:71;height:10770;rotation:90;flip:y;mso-position-horizontal-relative:page;mso-position-vertical-relative:page" fillcolor="#003e7e" stroked="f" strokecolor="#4a7ebb" strokeweight="1.5pt">
            <v:fill o:detectmouseclick="t"/>
            <v:shadow opacity="22938f" offset="0"/>
            <v:textbox inset=",7.2pt,,7.2pt"/>
          </v:rect>
        </v:group>
      </w:pict>
    </w:r>
    <w:r>
      <w:rPr>
        <w:noProof/>
        <w:lang w:val="en-US"/>
      </w:rPr>
      <w:pict>
        <v:shapetype id="_x0000_t202" coordsize="21600,21600" o:spt="202" path="m,l,21600r21600,l21600,xe">
          <v:stroke joinstyle="miter"/>
          <v:path gradientshapeok="t" o:connecttype="rect"/>
        </v:shapetype>
        <v:shape id="_x0000_s2054" type="#_x0000_t202" style="position:absolute;left:0;text-align:left;margin-left:458.25pt;margin-top:77.8pt;width:96.4pt;height:14.15pt;z-index:251655680;mso-position-horizontal-relative:page;mso-position-vertical-relative:page" filled="f" stroked="f">
          <v:fill o:detectmouseclick="t"/>
          <v:textbox style="mso-next-textbox:#_x0000_s2054" inset="0,0,0,0">
            <w:txbxContent>
              <w:p w:rsidR="004A6DF2" w:rsidRPr="00CD4551" w:rsidRDefault="002F3929">
                <w:pPr>
                  <w:rPr>
                    <w:rFonts w:ascii="Verdana" w:hAnsi="Verdana"/>
                    <w:color w:val="FFFFFF"/>
                    <w:sz w:val="20"/>
                    <w:lang w:val="en-US"/>
                  </w:rPr>
                </w:pPr>
                <w:r>
                  <w:rPr>
                    <w:rFonts w:ascii="Verdana" w:hAnsi="Verdana"/>
                    <w:color w:val="FFFFFF"/>
                    <w:sz w:val="20"/>
                    <w:lang w:val="en-US"/>
                  </w:rPr>
                  <w:t>December</w:t>
                </w:r>
              </w:p>
            </w:txbxContent>
          </v:textbox>
          <w10:wrap anchorx="page" anchory="page"/>
        </v:shape>
      </w:pict>
    </w:r>
    <w:r>
      <w:rPr>
        <w:noProof/>
        <w:lang w:val="en-US"/>
      </w:rPr>
      <w:pict>
        <v:shape id="_x0000_s2053" type="#_x0000_t202" style="position:absolute;left:0;text-align:left;margin-left:455.5pt;margin-top:83.55pt;width:102.05pt;height:45.6pt;z-index:251654656;mso-position-horizontal-relative:page;mso-position-vertical-relative:page" filled="f" stroked="f">
          <v:fill o:detectmouseclick="t"/>
          <v:textbox style="mso-next-textbox:#_x0000_s2053" inset="0,0,0,0">
            <w:txbxContent>
              <w:p w:rsidR="004A6DF2" w:rsidRPr="00F06C60" w:rsidRDefault="004A6DF2" w:rsidP="00471655">
                <w:pPr>
                  <w:jc w:val="center"/>
                  <w:rPr>
                    <w:rFonts w:ascii="Verdana" w:hAnsi="Verdana"/>
                    <w:b/>
                    <w:color w:val="FFFFFF"/>
                    <w:sz w:val="70"/>
                  </w:rPr>
                </w:pPr>
                <w:r w:rsidRPr="00F06C60">
                  <w:rPr>
                    <w:rFonts w:ascii="Verdana" w:hAnsi="Verdana"/>
                    <w:b/>
                    <w:color w:val="FFFFFF"/>
                    <w:sz w:val="70"/>
                  </w:rPr>
                  <w:t>201</w:t>
                </w:r>
                <w:r>
                  <w:rPr>
                    <w:rFonts w:ascii="Verdana" w:hAnsi="Verdana"/>
                    <w:b/>
                    <w:color w:val="FFFFFF"/>
                    <w:sz w:val="70"/>
                  </w:rPr>
                  <w:t>3</w:t>
                </w:r>
              </w:p>
            </w:txbxContent>
          </v:textbox>
          <w10:wrap anchorx="page" anchory="page"/>
        </v:shape>
      </w:pict>
    </w:r>
    <w:r>
      <w:rPr>
        <w:noProof/>
        <w:lang w:val="en-US"/>
      </w:rPr>
      <w:pict>
        <v:shape id="_x0000_s2055" type="#_x0000_t202" style="position:absolute;left:0;text-align:left;margin-left:48.3pt;margin-top:80.75pt;width:399.7pt;height:76.7pt;z-index:251656704;mso-position-horizontal-relative:page;mso-position-vertical-relative:page" fillcolor="#7bc143" stroked="f">
          <v:fill o:detectmouseclick="t"/>
          <v:textbox style="mso-next-textbox:#_x0000_s2055" inset="0,0,0,0">
            <w:txbxContent>
              <w:p w:rsidR="004A6DF2" w:rsidRPr="00F06C60" w:rsidRDefault="004A6DF2" w:rsidP="00471655">
                <w:pPr>
                  <w:spacing w:line="288" w:lineRule="auto"/>
                  <w:rPr>
                    <w:rFonts w:ascii="Verdana" w:hAnsi="Verdana"/>
                    <w:b/>
                    <w:color w:val="FFFFFF"/>
                    <w:sz w:val="40"/>
                  </w:rPr>
                </w:pPr>
                <w:r>
                  <w:rPr>
                    <w:rFonts w:ascii="Verdana" w:hAnsi="Verdana"/>
                    <w:b/>
                    <w:color w:val="FFFFFF"/>
                    <w:sz w:val="72"/>
                    <w:szCs w:val="72"/>
                  </w:rPr>
                  <w:t>Statistics Brief</w:t>
                </w:r>
                <w:r w:rsidRPr="00F06C60">
                  <w:rPr>
                    <w:rFonts w:ascii="Verdana" w:hAnsi="Verdana"/>
                    <w:b/>
                    <w:color w:val="FFFFFF"/>
                    <w:sz w:val="40"/>
                  </w:rPr>
                  <w:br/>
                </w:r>
                <w:r w:rsidRPr="00201FD6">
                  <w:rPr>
                    <w:rFonts w:ascii="Arial" w:hAnsi="Arial" w:cs="Arial"/>
                    <w:b/>
                    <w:color w:val="FFFFFF"/>
                    <w:sz w:val="28"/>
                    <w:szCs w:val="36"/>
                  </w:rPr>
                  <w:t>►</w:t>
                </w:r>
                <w:r>
                  <w:rPr>
                    <w:rFonts w:ascii="Arial" w:hAnsi="Arial" w:cs="Arial"/>
                    <w:b/>
                    <w:color w:val="FFFFFF"/>
                    <w:sz w:val="28"/>
                    <w:szCs w:val="36"/>
                  </w:rPr>
                  <w:t xml:space="preserve"> </w:t>
                </w:r>
                <w:r>
                  <w:rPr>
                    <w:rFonts w:ascii="Verdana" w:hAnsi="Verdana"/>
                    <w:color w:val="FFFFFF"/>
                    <w:sz w:val="28"/>
                    <w:szCs w:val="36"/>
                  </w:rPr>
                  <w:t xml:space="preserve">Global Trade and Transport </w:t>
                </w:r>
              </w:p>
            </w:txbxContent>
          </v:textbox>
          <w10:wrap anchorx="page" anchory="page"/>
        </v:shape>
      </w:pict>
    </w:r>
    <w:r w:rsidR="004A6DF2">
      <w:rPr>
        <w:noProof/>
        <w:lang w:val="en-US"/>
      </w:rPr>
      <w:drawing>
        <wp:anchor distT="0" distB="0" distL="114300" distR="114300" simplePos="0" relativeHeight="251653632" behindDoc="1" locked="0" layoutInCell="1" allowOverlap="1">
          <wp:simplePos x="0" y="0"/>
          <wp:positionH relativeFrom="page">
            <wp:posOffset>539115</wp:posOffset>
          </wp:positionH>
          <wp:positionV relativeFrom="page">
            <wp:posOffset>285750</wp:posOffset>
          </wp:positionV>
          <wp:extent cx="1847215" cy="467995"/>
          <wp:effectExtent l="19050" t="0" r="635"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r="29346"/>
                  <a:stretch>
                    <a:fillRect/>
                  </a:stretch>
                </pic:blipFill>
                <pic:spPr bwMode="auto">
                  <a:xfrm>
                    <a:off x="0" y="0"/>
                    <a:ext cx="1847215" cy="467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794"/>
    <w:multiLevelType w:val="hybridMultilevel"/>
    <w:tmpl w:val="EAF0B260"/>
    <w:lvl w:ilvl="0" w:tplc="71F405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F6DC3"/>
    <w:multiLevelType w:val="hybridMultilevel"/>
    <w:tmpl w:val="524494B6"/>
    <w:lvl w:ilvl="0" w:tplc="107CE0C4">
      <w:start w:val="1"/>
      <w:numFmt w:val="bullet"/>
      <w:lvlText w:val="►"/>
      <w:lvlJc w:val="left"/>
      <w:pPr>
        <w:ind w:left="720" w:hanging="360"/>
      </w:pPr>
      <w:rPr>
        <w:rFonts w:ascii="Arial" w:hAnsi="Arial" w:hint="default"/>
        <w:w w:val="80"/>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F5169"/>
    <w:multiLevelType w:val="hybridMultilevel"/>
    <w:tmpl w:val="E744B8DA"/>
    <w:lvl w:ilvl="0" w:tplc="71F405A0">
      <w:start w:val="1"/>
      <w:numFmt w:val="bullet"/>
      <w:lvlText w:val="►"/>
      <w:lvlJc w:val="left"/>
      <w:pPr>
        <w:ind w:left="360" w:hanging="360"/>
      </w:pPr>
      <w:rPr>
        <w:rFonts w:ascii="Arial" w:hAnsi="Arial" w:hint="default"/>
        <w:spacing w:val="4"/>
        <w:w w:val="80"/>
        <w:position w:val="0"/>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5E4554"/>
    <w:multiLevelType w:val="hybridMultilevel"/>
    <w:tmpl w:val="984C488E"/>
    <w:lvl w:ilvl="0" w:tplc="4CBE6888">
      <w:start w:val="1"/>
      <w:numFmt w:val="bullet"/>
      <w:lvlText w:val="►"/>
      <w:lvlJc w:val="left"/>
      <w:pPr>
        <w:ind w:left="720" w:hanging="360"/>
      </w:pPr>
      <w:rPr>
        <w:rFonts w:ascii="Arial" w:hAnsi="Arial" w:hint="default"/>
        <w:spacing w:val="0"/>
        <w:w w:val="8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84E98"/>
    <w:multiLevelType w:val="hybridMultilevel"/>
    <w:tmpl w:val="ED14C6C2"/>
    <w:lvl w:ilvl="0" w:tplc="63D0AF8C">
      <w:start w:val="1"/>
      <w:numFmt w:val="bullet"/>
      <w:lvlText w:val="►"/>
      <w:lvlJc w:val="left"/>
      <w:pPr>
        <w:ind w:left="360" w:hanging="360"/>
      </w:pPr>
      <w:rPr>
        <w:rFonts w:ascii="Arial" w:hAnsi="Arial" w:hint="default"/>
        <w:color w:val="FFFFFF"/>
        <w:spacing w:val="4"/>
        <w:w w:val="80"/>
        <w:position w:val="0"/>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86085B"/>
    <w:multiLevelType w:val="hybridMultilevel"/>
    <w:tmpl w:val="84F8AA36"/>
    <w:lvl w:ilvl="0" w:tplc="71F405A0">
      <w:start w:val="1"/>
      <w:numFmt w:val="bullet"/>
      <w:lvlText w:val="►"/>
      <w:lvlJc w:val="left"/>
      <w:pPr>
        <w:ind w:left="720" w:hanging="360"/>
      </w:pPr>
      <w:rPr>
        <w:rFonts w:ascii="Arial" w:hAnsi="Arial" w:hint="default"/>
        <w:spacing w:val="4"/>
        <w:w w:val="80"/>
        <w:position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B5748"/>
    <w:multiLevelType w:val="hybridMultilevel"/>
    <w:tmpl w:val="5DCA68D4"/>
    <w:lvl w:ilvl="0" w:tplc="71F405A0">
      <w:start w:val="1"/>
      <w:numFmt w:val="bullet"/>
      <w:lvlText w:val="►"/>
      <w:lvlJc w:val="left"/>
      <w:pPr>
        <w:ind w:left="862" w:hanging="360"/>
      </w:pPr>
      <w:rPr>
        <w:rFonts w:ascii="Arial" w:hAnsi="Arial" w:hint="default"/>
        <w:spacing w:val="4"/>
        <w:w w:val="80"/>
        <w:position w:val="0"/>
      </w:rPr>
    </w:lvl>
    <w:lvl w:ilvl="1" w:tplc="04090003" w:tentative="1">
      <w:start w:val="1"/>
      <w:numFmt w:val="bullet"/>
      <w:lvlText w:val="o"/>
      <w:lvlJc w:val="left"/>
      <w:pPr>
        <w:ind w:left="1582" w:hanging="360"/>
      </w:pPr>
      <w:rPr>
        <w:rFonts w:ascii="Courier New" w:hAnsi="Courier New" w:cs="Symbol"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Symbol"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Symbol"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3C7E6158"/>
    <w:multiLevelType w:val="hybridMultilevel"/>
    <w:tmpl w:val="62AE2AC0"/>
    <w:lvl w:ilvl="0" w:tplc="71F405A0">
      <w:start w:val="1"/>
      <w:numFmt w:val="bullet"/>
      <w:lvlText w:val="►"/>
      <w:lvlJc w:val="left"/>
      <w:pPr>
        <w:ind w:left="360" w:hanging="360"/>
      </w:pPr>
      <w:rPr>
        <w:rFonts w:ascii="Arial" w:hAnsi="Arial" w:hint="default"/>
        <w:spacing w:val="4"/>
        <w:w w:val="80"/>
        <w:position w:val="0"/>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C6191A"/>
    <w:multiLevelType w:val="hybridMultilevel"/>
    <w:tmpl w:val="471C7502"/>
    <w:lvl w:ilvl="0" w:tplc="92B81E14">
      <w:start w:val="1"/>
      <w:numFmt w:val="bullet"/>
      <w:lvlText w:val="►"/>
      <w:lvlJc w:val="left"/>
      <w:pPr>
        <w:ind w:left="360" w:hanging="360"/>
      </w:pPr>
      <w:rPr>
        <w:rFonts w:ascii="Arial" w:hAnsi="Arial" w:hint="default"/>
        <w:spacing w:val="4"/>
        <w:w w:val="80"/>
        <w:position w:val="0"/>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6F7AF4"/>
    <w:multiLevelType w:val="hybridMultilevel"/>
    <w:tmpl w:val="63762D4C"/>
    <w:lvl w:ilvl="0" w:tplc="71F405A0">
      <w:start w:val="1"/>
      <w:numFmt w:val="bullet"/>
      <w:lvlText w:val="►"/>
      <w:lvlJc w:val="left"/>
      <w:pPr>
        <w:ind w:left="720" w:hanging="360"/>
      </w:pPr>
      <w:rPr>
        <w:rFonts w:ascii="Arial" w:hAnsi="Arial" w:hint="default"/>
        <w:spacing w:val="4"/>
        <w:w w:val="80"/>
        <w:position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F3C84"/>
    <w:multiLevelType w:val="hybridMultilevel"/>
    <w:tmpl w:val="AADC4F30"/>
    <w:lvl w:ilvl="0" w:tplc="71F405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C6DCB"/>
    <w:multiLevelType w:val="hybridMultilevel"/>
    <w:tmpl w:val="C3C27F62"/>
    <w:lvl w:ilvl="0" w:tplc="71F405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809E1"/>
    <w:multiLevelType w:val="hybridMultilevel"/>
    <w:tmpl w:val="466602A4"/>
    <w:lvl w:ilvl="0" w:tplc="107CE0C4">
      <w:start w:val="1"/>
      <w:numFmt w:val="bullet"/>
      <w:lvlText w:val="►"/>
      <w:lvlJc w:val="left"/>
      <w:pPr>
        <w:ind w:left="1287" w:hanging="360"/>
      </w:pPr>
      <w:rPr>
        <w:rFonts w:ascii="Arial" w:hAnsi="Arial" w:hint="default"/>
        <w:w w:val="8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37026A4"/>
    <w:multiLevelType w:val="hybridMultilevel"/>
    <w:tmpl w:val="BC38638E"/>
    <w:lvl w:ilvl="0" w:tplc="4CBE6888">
      <w:start w:val="1"/>
      <w:numFmt w:val="bullet"/>
      <w:lvlText w:val="►"/>
      <w:lvlJc w:val="left"/>
      <w:pPr>
        <w:ind w:left="360" w:hanging="360"/>
      </w:pPr>
      <w:rPr>
        <w:rFonts w:ascii="Arial" w:hAnsi="Arial" w:hint="default"/>
        <w:spacing w:val="0"/>
        <w:w w:val="80"/>
        <w:position w:val="0"/>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BE5F87"/>
    <w:multiLevelType w:val="hybridMultilevel"/>
    <w:tmpl w:val="EB72F4A6"/>
    <w:lvl w:ilvl="0" w:tplc="7076DD34">
      <w:start w:val="1"/>
      <w:numFmt w:val="bullet"/>
      <w:lvlText w:val="►"/>
      <w:lvlJc w:val="left"/>
      <w:pPr>
        <w:ind w:left="720" w:hanging="360"/>
      </w:pPr>
      <w:rPr>
        <w:rFonts w:ascii="Arial" w:hAnsi="Arial" w:hint="default"/>
        <w:w w:val="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669BA"/>
    <w:multiLevelType w:val="hybridMultilevel"/>
    <w:tmpl w:val="5EEE4628"/>
    <w:lvl w:ilvl="0" w:tplc="DF0C795C">
      <w:numFmt w:val="bullet"/>
      <w:lvlText w:val="•"/>
      <w:lvlJc w:val="left"/>
      <w:pPr>
        <w:ind w:left="927" w:hanging="360"/>
      </w:pPr>
      <w:rPr>
        <w:rFonts w:ascii="Verdana" w:eastAsia="Cambria" w:hAnsi="Verdana" w:cs="Trebuchet M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6ED6528D"/>
    <w:multiLevelType w:val="hybridMultilevel"/>
    <w:tmpl w:val="13088B58"/>
    <w:lvl w:ilvl="0" w:tplc="2F960228">
      <w:start w:val="1"/>
      <w:numFmt w:val="bullet"/>
      <w:lvlText w:val="►"/>
      <w:lvlJc w:val="left"/>
      <w:pPr>
        <w:ind w:left="720" w:hanging="360"/>
      </w:pPr>
      <w:rPr>
        <w:rFonts w:ascii="Arial" w:hAnsi="Arial" w:hint="default"/>
        <w:w w:val="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8"/>
  </w:num>
  <w:num w:numId="5">
    <w:abstractNumId w:val="4"/>
  </w:num>
  <w:num w:numId="6">
    <w:abstractNumId w:val="10"/>
  </w:num>
  <w:num w:numId="7">
    <w:abstractNumId w:val="7"/>
  </w:num>
  <w:num w:numId="8">
    <w:abstractNumId w:val="5"/>
  </w:num>
  <w:num w:numId="9">
    <w:abstractNumId w:val="9"/>
  </w:num>
  <w:num w:numId="10">
    <w:abstractNumId w:val="2"/>
  </w:num>
  <w:num w:numId="11">
    <w:abstractNumId w:val="0"/>
  </w:num>
  <w:num w:numId="12">
    <w:abstractNumId w:val="13"/>
  </w:num>
  <w:num w:numId="13">
    <w:abstractNumId w:val="16"/>
  </w:num>
  <w:num w:numId="14">
    <w:abstractNumId w:val="14"/>
  </w:num>
  <w:num w:numId="15">
    <w:abstractNumId w:val="1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68">
      <o:colormru v:ext="edit" colors="#98999b,#93b633,#3178b8,#113e76,#7bc143,#f96,#e46c0a,#93959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14A5"/>
    <w:rsid w:val="00000774"/>
    <w:rsid w:val="0000151A"/>
    <w:rsid w:val="0000261E"/>
    <w:rsid w:val="000028EA"/>
    <w:rsid w:val="000047FF"/>
    <w:rsid w:val="000048AE"/>
    <w:rsid w:val="00006995"/>
    <w:rsid w:val="00010E62"/>
    <w:rsid w:val="000157A5"/>
    <w:rsid w:val="00015B85"/>
    <w:rsid w:val="00015EF7"/>
    <w:rsid w:val="00020D1C"/>
    <w:rsid w:val="00022F4F"/>
    <w:rsid w:val="0002393C"/>
    <w:rsid w:val="00023CDB"/>
    <w:rsid w:val="00024169"/>
    <w:rsid w:val="00024AFB"/>
    <w:rsid w:val="00026978"/>
    <w:rsid w:val="00026C1D"/>
    <w:rsid w:val="000271D1"/>
    <w:rsid w:val="000314BC"/>
    <w:rsid w:val="000335BC"/>
    <w:rsid w:val="0003624F"/>
    <w:rsid w:val="00036A7D"/>
    <w:rsid w:val="00037974"/>
    <w:rsid w:val="00040EBA"/>
    <w:rsid w:val="00041ACE"/>
    <w:rsid w:val="00043C77"/>
    <w:rsid w:val="00045ACE"/>
    <w:rsid w:val="000465CD"/>
    <w:rsid w:val="00046812"/>
    <w:rsid w:val="00047A97"/>
    <w:rsid w:val="00047E05"/>
    <w:rsid w:val="000543B4"/>
    <w:rsid w:val="00055C80"/>
    <w:rsid w:val="00064159"/>
    <w:rsid w:val="00073F30"/>
    <w:rsid w:val="00074AF3"/>
    <w:rsid w:val="0007748C"/>
    <w:rsid w:val="0007787E"/>
    <w:rsid w:val="000813C9"/>
    <w:rsid w:val="0008254F"/>
    <w:rsid w:val="000842C9"/>
    <w:rsid w:val="00084EBF"/>
    <w:rsid w:val="000861EF"/>
    <w:rsid w:val="00086282"/>
    <w:rsid w:val="00090D05"/>
    <w:rsid w:val="0009214B"/>
    <w:rsid w:val="000955C8"/>
    <w:rsid w:val="0009645E"/>
    <w:rsid w:val="000967BA"/>
    <w:rsid w:val="00096A04"/>
    <w:rsid w:val="000A4128"/>
    <w:rsid w:val="000A433F"/>
    <w:rsid w:val="000A584F"/>
    <w:rsid w:val="000B0CEC"/>
    <w:rsid w:val="000B16B6"/>
    <w:rsid w:val="000B3868"/>
    <w:rsid w:val="000B3A02"/>
    <w:rsid w:val="000B3CAC"/>
    <w:rsid w:val="000B4D01"/>
    <w:rsid w:val="000B7264"/>
    <w:rsid w:val="000C1677"/>
    <w:rsid w:val="000C2962"/>
    <w:rsid w:val="000C4E91"/>
    <w:rsid w:val="000C6257"/>
    <w:rsid w:val="000D0F7E"/>
    <w:rsid w:val="000D388D"/>
    <w:rsid w:val="000D435D"/>
    <w:rsid w:val="000D6517"/>
    <w:rsid w:val="000D71C8"/>
    <w:rsid w:val="000D7F63"/>
    <w:rsid w:val="000E14A4"/>
    <w:rsid w:val="000E61CF"/>
    <w:rsid w:val="000F2B3F"/>
    <w:rsid w:val="000F2C1E"/>
    <w:rsid w:val="000F6D24"/>
    <w:rsid w:val="000F7222"/>
    <w:rsid w:val="000F7555"/>
    <w:rsid w:val="00100E29"/>
    <w:rsid w:val="00101B37"/>
    <w:rsid w:val="001047F8"/>
    <w:rsid w:val="0010533D"/>
    <w:rsid w:val="0010685C"/>
    <w:rsid w:val="00107538"/>
    <w:rsid w:val="00112815"/>
    <w:rsid w:val="00115521"/>
    <w:rsid w:val="00115A4D"/>
    <w:rsid w:val="001212F1"/>
    <w:rsid w:val="00130184"/>
    <w:rsid w:val="001329A6"/>
    <w:rsid w:val="00133F93"/>
    <w:rsid w:val="00136110"/>
    <w:rsid w:val="00137528"/>
    <w:rsid w:val="00137CB7"/>
    <w:rsid w:val="00140B32"/>
    <w:rsid w:val="00140E17"/>
    <w:rsid w:val="001418C9"/>
    <w:rsid w:val="001423EA"/>
    <w:rsid w:val="00143497"/>
    <w:rsid w:val="00144D57"/>
    <w:rsid w:val="001464D2"/>
    <w:rsid w:val="00146B54"/>
    <w:rsid w:val="00147666"/>
    <w:rsid w:val="00157BDB"/>
    <w:rsid w:val="00157E68"/>
    <w:rsid w:val="00163A31"/>
    <w:rsid w:val="001646D4"/>
    <w:rsid w:val="0016551A"/>
    <w:rsid w:val="00170476"/>
    <w:rsid w:val="00170702"/>
    <w:rsid w:val="0017072F"/>
    <w:rsid w:val="001711F9"/>
    <w:rsid w:val="00175E2F"/>
    <w:rsid w:val="00175F44"/>
    <w:rsid w:val="00182246"/>
    <w:rsid w:val="001846FE"/>
    <w:rsid w:val="00186779"/>
    <w:rsid w:val="001869C8"/>
    <w:rsid w:val="00190292"/>
    <w:rsid w:val="001926F6"/>
    <w:rsid w:val="001931F4"/>
    <w:rsid w:val="00197D62"/>
    <w:rsid w:val="001A1542"/>
    <w:rsid w:val="001A2620"/>
    <w:rsid w:val="001A50D2"/>
    <w:rsid w:val="001A7D53"/>
    <w:rsid w:val="001B3504"/>
    <w:rsid w:val="001B5FC4"/>
    <w:rsid w:val="001B6828"/>
    <w:rsid w:val="001B76B6"/>
    <w:rsid w:val="001B7A6C"/>
    <w:rsid w:val="001C0C98"/>
    <w:rsid w:val="001C2F8F"/>
    <w:rsid w:val="001C2FB1"/>
    <w:rsid w:val="001C4ECC"/>
    <w:rsid w:val="001D55B5"/>
    <w:rsid w:val="001D6A4F"/>
    <w:rsid w:val="001D7517"/>
    <w:rsid w:val="001D7B2B"/>
    <w:rsid w:val="001D7F79"/>
    <w:rsid w:val="001F0615"/>
    <w:rsid w:val="001F5E79"/>
    <w:rsid w:val="001F74C0"/>
    <w:rsid w:val="001F763F"/>
    <w:rsid w:val="001F7F1C"/>
    <w:rsid w:val="00200F15"/>
    <w:rsid w:val="00201ACD"/>
    <w:rsid w:val="00201F70"/>
    <w:rsid w:val="00204707"/>
    <w:rsid w:val="00207083"/>
    <w:rsid w:val="00212403"/>
    <w:rsid w:val="00213320"/>
    <w:rsid w:val="00213AAC"/>
    <w:rsid w:val="002163D1"/>
    <w:rsid w:val="00224DBE"/>
    <w:rsid w:val="00225B0E"/>
    <w:rsid w:val="00226086"/>
    <w:rsid w:val="00231A8F"/>
    <w:rsid w:val="00233CE3"/>
    <w:rsid w:val="00236390"/>
    <w:rsid w:val="00237F48"/>
    <w:rsid w:val="00240B30"/>
    <w:rsid w:val="00241B4A"/>
    <w:rsid w:val="00244969"/>
    <w:rsid w:val="0024628B"/>
    <w:rsid w:val="002465CC"/>
    <w:rsid w:val="0024719F"/>
    <w:rsid w:val="002539BD"/>
    <w:rsid w:val="0025407A"/>
    <w:rsid w:val="002567DC"/>
    <w:rsid w:val="00261215"/>
    <w:rsid w:val="002623C4"/>
    <w:rsid w:val="00263E35"/>
    <w:rsid w:val="0026679B"/>
    <w:rsid w:val="002702FD"/>
    <w:rsid w:val="002709A0"/>
    <w:rsid w:val="0027277D"/>
    <w:rsid w:val="00272E90"/>
    <w:rsid w:val="0027301F"/>
    <w:rsid w:val="00274458"/>
    <w:rsid w:val="00274A95"/>
    <w:rsid w:val="002770C1"/>
    <w:rsid w:val="0027736C"/>
    <w:rsid w:val="00283244"/>
    <w:rsid w:val="00286B3B"/>
    <w:rsid w:val="00294BD0"/>
    <w:rsid w:val="00294E0E"/>
    <w:rsid w:val="002952FA"/>
    <w:rsid w:val="002A2E47"/>
    <w:rsid w:val="002A7F91"/>
    <w:rsid w:val="002B0346"/>
    <w:rsid w:val="002B0587"/>
    <w:rsid w:val="002B0D2C"/>
    <w:rsid w:val="002B1462"/>
    <w:rsid w:val="002B1973"/>
    <w:rsid w:val="002B1D55"/>
    <w:rsid w:val="002B6E39"/>
    <w:rsid w:val="002B73B5"/>
    <w:rsid w:val="002C1B07"/>
    <w:rsid w:val="002C63A6"/>
    <w:rsid w:val="002D2D26"/>
    <w:rsid w:val="002D4AD6"/>
    <w:rsid w:val="002D535E"/>
    <w:rsid w:val="002D5BD5"/>
    <w:rsid w:val="002D6365"/>
    <w:rsid w:val="002D64A5"/>
    <w:rsid w:val="002E46D1"/>
    <w:rsid w:val="002E54F4"/>
    <w:rsid w:val="002F00A8"/>
    <w:rsid w:val="002F095D"/>
    <w:rsid w:val="002F1560"/>
    <w:rsid w:val="002F3929"/>
    <w:rsid w:val="00301F69"/>
    <w:rsid w:val="00302FCA"/>
    <w:rsid w:val="00303282"/>
    <w:rsid w:val="00303321"/>
    <w:rsid w:val="003044FB"/>
    <w:rsid w:val="00304C64"/>
    <w:rsid w:val="003069DC"/>
    <w:rsid w:val="003076AD"/>
    <w:rsid w:val="003076E5"/>
    <w:rsid w:val="00310559"/>
    <w:rsid w:val="0031172E"/>
    <w:rsid w:val="00311A6C"/>
    <w:rsid w:val="00311B6D"/>
    <w:rsid w:val="0031482B"/>
    <w:rsid w:val="00321EFA"/>
    <w:rsid w:val="0032218E"/>
    <w:rsid w:val="00326758"/>
    <w:rsid w:val="0033015D"/>
    <w:rsid w:val="00330D58"/>
    <w:rsid w:val="00331EB4"/>
    <w:rsid w:val="00333523"/>
    <w:rsid w:val="0033743B"/>
    <w:rsid w:val="00337AEA"/>
    <w:rsid w:val="00341840"/>
    <w:rsid w:val="0034454B"/>
    <w:rsid w:val="0034480B"/>
    <w:rsid w:val="00346052"/>
    <w:rsid w:val="00350E91"/>
    <w:rsid w:val="00351B6E"/>
    <w:rsid w:val="00352650"/>
    <w:rsid w:val="00352C4C"/>
    <w:rsid w:val="00354068"/>
    <w:rsid w:val="00356F4D"/>
    <w:rsid w:val="003574FF"/>
    <w:rsid w:val="00360DC3"/>
    <w:rsid w:val="00361466"/>
    <w:rsid w:val="003632BF"/>
    <w:rsid w:val="0036452F"/>
    <w:rsid w:val="00372BD8"/>
    <w:rsid w:val="00374330"/>
    <w:rsid w:val="003757A4"/>
    <w:rsid w:val="00375AC2"/>
    <w:rsid w:val="00376C17"/>
    <w:rsid w:val="00377606"/>
    <w:rsid w:val="003817D0"/>
    <w:rsid w:val="0038184B"/>
    <w:rsid w:val="0038442B"/>
    <w:rsid w:val="003848F7"/>
    <w:rsid w:val="00385228"/>
    <w:rsid w:val="003853B3"/>
    <w:rsid w:val="00386530"/>
    <w:rsid w:val="00386F13"/>
    <w:rsid w:val="00392A95"/>
    <w:rsid w:val="003934D8"/>
    <w:rsid w:val="00394B11"/>
    <w:rsid w:val="0039556D"/>
    <w:rsid w:val="003A0DA6"/>
    <w:rsid w:val="003A2963"/>
    <w:rsid w:val="003A39F8"/>
    <w:rsid w:val="003A3E99"/>
    <w:rsid w:val="003A4903"/>
    <w:rsid w:val="003A5652"/>
    <w:rsid w:val="003A724F"/>
    <w:rsid w:val="003A749C"/>
    <w:rsid w:val="003A7772"/>
    <w:rsid w:val="003B0389"/>
    <w:rsid w:val="003B29AD"/>
    <w:rsid w:val="003B3997"/>
    <w:rsid w:val="003B5AB2"/>
    <w:rsid w:val="003B5E23"/>
    <w:rsid w:val="003B62E2"/>
    <w:rsid w:val="003C002F"/>
    <w:rsid w:val="003C3386"/>
    <w:rsid w:val="003C7961"/>
    <w:rsid w:val="003C7B7C"/>
    <w:rsid w:val="003D05CF"/>
    <w:rsid w:val="003D1774"/>
    <w:rsid w:val="003D23F6"/>
    <w:rsid w:val="003D4C04"/>
    <w:rsid w:val="003E76A1"/>
    <w:rsid w:val="003F03C7"/>
    <w:rsid w:val="003F291A"/>
    <w:rsid w:val="003F61D0"/>
    <w:rsid w:val="00402291"/>
    <w:rsid w:val="00404728"/>
    <w:rsid w:val="004104AE"/>
    <w:rsid w:val="004134CC"/>
    <w:rsid w:val="0041473F"/>
    <w:rsid w:val="00414C48"/>
    <w:rsid w:val="004157F3"/>
    <w:rsid w:val="00415A91"/>
    <w:rsid w:val="0042014A"/>
    <w:rsid w:val="00421B7B"/>
    <w:rsid w:val="00423A31"/>
    <w:rsid w:val="00423BC8"/>
    <w:rsid w:val="00424ED3"/>
    <w:rsid w:val="00426632"/>
    <w:rsid w:val="0043077B"/>
    <w:rsid w:val="004308EC"/>
    <w:rsid w:val="00430995"/>
    <w:rsid w:val="004315E5"/>
    <w:rsid w:val="004324A3"/>
    <w:rsid w:val="00436141"/>
    <w:rsid w:val="00436334"/>
    <w:rsid w:val="00437BBD"/>
    <w:rsid w:val="00440767"/>
    <w:rsid w:val="00441752"/>
    <w:rsid w:val="004420D4"/>
    <w:rsid w:val="004421F5"/>
    <w:rsid w:val="00442559"/>
    <w:rsid w:val="00442674"/>
    <w:rsid w:val="00445217"/>
    <w:rsid w:val="00447C83"/>
    <w:rsid w:val="004508D2"/>
    <w:rsid w:val="00452B23"/>
    <w:rsid w:val="0045559B"/>
    <w:rsid w:val="00457569"/>
    <w:rsid w:val="00461C2C"/>
    <w:rsid w:val="00462CFA"/>
    <w:rsid w:val="00466602"/>
    <w:rsid w:val="004708E8"/>
    <w:rsid w:val="004713ED"/>
    <w:rsid w:val="00471655"/>
    <w:rsid w:val="00472259"/>
    <w:rsid w:val="0047268D"/>
    <w:rsid w:val="004726E9"/>
    <w:rsid w:val="004735F4"/>
    <w:rsid w:val="00473AA9"/>
    <w:rsid w:val="00474E28"/>
    <w:rsid w:val="00474E56"/>
    <w:rsid w:val="004753B0"/>
    <w:rsid w:val="00476257"/>
    <w:rsid w:val="00477A7D"/>
    <w:rsid w:val="00480588"/>
    <w:rsid w:val="0048294D"/>
    <w:rsid w:val="00483818"/>
    <w:rsid w:val="00485E40"/>
    <w:rsid w:val="004862CD"/>
    <w:rsid w:val="00486ADF"/>
    <w:rsid w:val="00487CD9"/>
    <w:rsid w:val="004907BF"/>
    <w:rsid w:val="004907C3"/>
    <w:rsid w:val="0049244D"/>
    <w:rsid w:val="00492588"/>
    <w:rsid w:val="00492E96"/>
    <w:rsid w:val="004953EB"/>
    <w:rsid w:val="00495C09"/>
    <w:rsid w:val="00497288"/>
    <w:rsid w:val="004A0553"/>
    <w:rsid w:val="004A0870"/>
    <w:rsid w:val="004A3EBB"/>
    <w:rsid w:val="004A6DF2"/>
    <w:rsid w:val="004B0DF4"/>
    <w:rsid w:val="004B0E29"/>
    <w:rsid w:val="004B2778"/>
    <w:rsid w:val="004B3255"/>
    <w:rsid w:val="004B4C6A"/>
    <w:rsid w:val="004B4CBB"/>
    <w:rsid w:val="004B6737"/>
    <w:rsid w:val="004B6A91"/>
    <w:rsid w:val="004C083E"/>
    <w:rsid w:val="004C14F7"/>
    <w:rsid w:val="004C3CEB"/>
    <w:rsid w:val="004C4791"/>
    <w:rsid w:val="004C6A0D"/>
    <w:rsid w:val="004C6D8B"/>
    <w:rsid w:val="004D0D9F"/>
    <w:rsid w:val="004D22FC"/>
    <w:rsid w:val="004D3790"/>
    <w:rsid w:val="004D3C3B"/>
    <w:rsid w:val="004D4B5D"/>
    <w:rsid w:val="004D7A28"/>
    <w:rsid w:val="004E3EED"/>
    <w:rsid w:val="004E789B"/>
    <w:rsid w:val="004F6442"/>
    <w:rsid w:val="00501E3D"/>
    <w:rsid w:val="00502894"/>
    <w:rsid w:val="00502C85"/>
    <w:rsid w:val="00503B81"/>
    <w:rsid w:val="00504A85"/>
    <w:rsid w:val="00504ABA"/>
    <w:rsid w:val="00505AEC"/>
    <w:rsid w:val="005117A1"/>
    <w:rsid w:val="005129A7"/>
    <w:rsid w:val="005158D1"/>
    <w:rsid w:val="005161F3"/>
    <w:rsid w:val="005163B7"/>
    <w:rsid w:val="00530997"/>
    <w:rsid w:val="00535D75"/>
    <w:rsid w:val="00536D48"/>
    <w:rsid w:val="005375C4"/>
    <w:rsid w:val="005422AD"/>
    <w:rsid w:val="00543CDB"/>
    <w:rsid w:val="00544568"/>
    <w:rsid w:val="00544F81"/>
    <w:rsid w:val="005456D7"/>
    <w:rsid w:val="00546817"/>
    <w:rsid w:val="00552CC2"/>
    <w:rsid w:val="00553C72"/>
    <w:rsid w:val="00554332"/>
    <w:rsid w:val="005544F5"/>
    <w:rsid w:val="00554CA2"/>
    <w:rsid w:val="00557C94"/>
    <w:rsid w:val="00561636"/>
    <w:rsid w:val="00562DDF"/>
    <w:rsid w:val="00562E86"/>
    <w:rsid w:val="00566D47"/>
    <w:rsid w:val="00570131"/>
    <w:rsid w:val="00570670"/>
    <w:rsid w:val="00570A5F"/>
    <w:rsid w:val="005714BC"/>
    <w:rsid w:val="005717D9"/>
    <w:rsid w:val="00573A2C"/>
    <w:rsid w:val="005761A5"/>
    <w:rsid w:val="005764D4"/>
    <w:rsid w:val="0057663D"/>
    <w:rsid w:val="0057711E"/>
    <w:rsid w:val="00577A2B"/>
    <w:rsid w:val="00583212"/>
    <w:rsid w:val="005846DD"/>
    <w:rsid w:val="00586262"/>
    <w:rsid w:val="00586AF1"/>
    <w:rsid w:val="00590744"/>
    <w:rsid w:val="00591028"/>
    <w:rsid w:val="005910C9"/>
    <w:rsid w:val="005914E6"/>
    <w:rsid w:val="0059596C"/>
    <w:rsid w:val="00596E06"/>
    <w:rsid w:val="005A0444"/>
    <w:rsid w:val="005A18CB"/>
    <w:rsid w:val="005A36A6"/>
    <w:rsid w:val="005A5031"/>
    <w:rsid w:val="005A5E28"/>
    <w:rsid w:val="005A73BF"/>
    <w:rsid w:val="005A7B2D"/>
    <w:rsid w:val="005B0320"/>
    <w:rsid w:val="005B2D85"/>
    <w:rsid w:val="005B34A4"/>
    <w:rsid w:val="005B686B"/>
    <w:rsid w:val="005B6A84"/>
    <w:rsid w:val="005C1E20"/>
    <w:rsid w:val="005C2F55"/>
    <w:rsid w:val="005C4C77"/>
    <w:rsid w:val="005C6697"/>
    <w:rsid w:val="005C6FAA"/>
    <w:rsid w:val="005C7187"/>
    <w:rsid w:val="005D12E4"/>
    <w:rsid w:val="005D3046"/>
    <w:rsid w:val="005D4AE0"/>
    <w:rsid w:val="005D4CAC"/>
    <w:rsid w:val="005D5689"/>
    <w:rsid w:val="005D6F57"/>
    <w:rsid w:val="005E18DB"/>
    <w:rsid w:val="005E3302"/>
    <w:rsid w:val="005E3ABE"/>
    <w:rsid w:val="005E407E"/>
    <w:rsid w:val="005E4404"/>
    <w:rsid w:val="005E5EA0"/>
    <w:rsid w:val="005E62AA"/>
    <w:rsid w:val="005E665D"/>
    <w:rsid w:val="005F0DA3"/>
    <w:rsid w:val="005F2366"/>
    <w:rsid w:val="005F5A70"/>
    <w:rsid w:val="005F7102"/>
    <w:rsid w:val="005F7493"/>
    <w:rsid w:val="005F778E"/>
    <w:rsid w:val="00602B72"/>
    <w:rsid w:val="006056BC"/>
    <w:rsid w:val="006061D2"/>
    <w:rsid w:val="00607B2C"/>
    <w:rsid w:val="0061059A"/>
    <w:rsid w:val="0061129B"/>
    <w:rsid w:val="006115B7"/>
    <w:rsid w:val="00615AE4"/>
    <w:rsid w:val="006173D6"/>
    <w:rsid w:val="00617886"/>
    <w:rsid w:val="00617C59"/>
    <w:rsid w:val="006356E0"/>
    <w:rsid w:val="00635F8E"/>
    <w:rsid w:val="0063611F"/>
    <w:rsid w:val="00636A9E"/>
    <w:rsid w:val="00636CA2"/>
    <w:rsid w:val="0064126B"/>
    <w:rsid w:val="00644CB6"/>
    <w:rsid w:val="00647809"/>
    <w:rsid w:val="00647FEE"/>
    <w:rsid w:val="0066062E"/>
    <w:rsid w:val="00660F7A"/>
    <w:rsid w:val="00664400"/>
    <w:rsid w:val="006715F0"/>
    <w:rsid w:val="00671C5D"/>
    <w:rsid w:val="006721CC"/>
    <w:rsid w:val="00674707"/>
    <w:rsid w:val="00675F49"/>
    <w:rsid w:val="0067721F"/>
    <w:rsid w:val="00680BBD"/>
    <w:rsid w:val="0068130D"/>
    <w:rsid w:val="00683D3A"/>
    <w:rsid w:val="006851B9"/>
    <w:rsid w:val="006905AF"/>
    <w:rsid w:val="00691605"/>
    <w:rsid w:val="00691C10"/>
    <w:rsid w:val="00692C88"/>
    <w:rsid w:val="00693904"/>
    <w:rsid w:val="006948F5"/>
    <w:rsid w:val="006A1A40"/>
    <w:rsid w:val="006A338C"/>
    <w:rsid w:val="006A65DE"/>
    <w:rsid w:val="006A678C"/>
    <w:rsid w:val="006A766D"/>
    <w:rsid w:val="006A7E0B"/>
    <w:rsid w:val="006B65C1"/>
    <w:rsid w:val="006B7357"/>
    <w:rsid w:val="006C0093"/>
    <w:rsid w:val="006C1701"/>
    <w:rsid w:val="006C1C13"/>
    <w:rsid w:val="006C1F13"/>
    <w:rsid w:val="006C35F6"/>
    <w:rsid w:val="006C3E24"/>
    <w:rsid w:val="006C4E31"/>
    <w:rsid w:val="006C542B"/>
    <w:rsid w:val="006C6433"/>
    <w:rsid w:val="006D2098"/>
    <w:rsid w:val="006D259F"/>
    <w:rsid w:val="006D2742"/>
    <w:rsid w:val="006D2990"/>
    <w:rsid w:val="006D7FE7"/>
    <w:rsid w:val="006E0B3E"/>
    <w:rsid w:val="006E0D99"/>
    <w:rsid w:val="006E0F25"/>
    <w:rsid w:val="006E3631"/>
    <w:rsid w:val="006E50FA"/>
    <w:rsid w:val="006E68EB"/>
    <w:rsid w:val="006E6A32"/>
    <w:rsid w:val="006F01EB"/>
    <w:rsid w:val="006F2E3E"/>
    <w:rsid w:val="006F440C"/>
    <w:rsid w:val="006F4545"/>
    <w:rsid w:val="006F6C1D"/>
    <w:rsid w:val="00701B42"/>
    <w:rsid w:val="00701FCA"/>
    <w:rsid w:val="007021F6"/>
    <w:rsid w:val="00702F8B"/>
    <w:rsid w:val="00714178"/>
    <w:rsid w:val="0071488A"/>
    <w:rsid w:val="00716FE6"/>
    <w:rsid w:val="007172A3"/>
    <w:rsid w:val="00720FC2"/>
    <w:rsid w:val="007228B0"/>
    <w:rsid w:val="007243C6"/>
    <w:rsid w:val="00724585"/>
    <w:rsid w:val="007248A8"/>
    <w:rsid w:val="00725BC5"/>
    <w:rsid w:val="007273DF"/>
    <w:rsid w:val="007328AE"/>
    <w:rsid w:val="00732B9F"/>
    <w:rsid w:val="00734177"/>
    <w:rsid w:val="007356EE"/>
    <w:rsid w:val="00736156"/>
    <w:rsid w:val="00736225"/>
    <w:rsid w:val="00736E0E"/>
    <w:rsid w:val="00740D60"/>
    <w:rsid w:val="007425E4"/>
    <w:rsid w:val="00742B66"/>
    <w:rsid w:val="00745D36"/>
    <w:rsid w:val="00746E2F"/>
    <w:rsid w:val="00747468"/>
    <w:rsid w:val="00754D93"/>
    <w:rsid w:val="007554A4"/>
    <w:rsid w:val="00761029"/>
    <w:rsid w:val="007625FF"/>
    <w:rsid w:val="00763454"/>
    <w:rsid w:val="007642DF"/>
    <w:rsid w:val="00766008"/>
    <w:rsid w:val="007665F1"/>
    <w:rsid w:val="007704DA"/>
    <w:rsid w:val="00772C23"/>
    <w:rsid w:val="00773306"/>
    <w:rsid w:val="00774324"/>
    <w:rsid w:val="00774C8F"/>
    <w:rsid w:val="00775845"/>
    <w:rsid w:val="00777C58"/>
    <w:rsid w:val="00780451"/>
    <w:rsid w:val="00781852"/>
    <w:rsid w:val="00781867"/>
    <w:rsid w:val="00784140"/>
    <w:rsid w:val="00786542"/>
    <w:rsid w:val="007867D8"/>
    <w:rsid w:val="00787F0F"/>
    <w:rsid w:val="0079005D"/>
    <w:rsid w:val="007964AD"/>
    <w:rsid w:val="0079687D"/>
    <w:rsid w:val="00797078"/>
    <w:rsid w:val="00797C7B"/>
    <w:rsid w:val="007A0575"/>
    <w:rsid w:val="007A2814"/>
    <w:rsid w:val="007A281A"/>
    <w:rsid w:val="007A4F62"/>
    <w:rsid w:val="007A5473"/>
    <w:rsid w:val="007A598F"/>
    <w:rsid w:val="007A62B5"/>
    <w:rsid w:val="007B0205"/>
    <w:rsid w:val="007B030E"/>
    <w:rsid w:val="007B0E36"/>
    <w:rsid w:val="007B2ED8"/>
    <w:rsid w:val="007B3DFC"/>
    <w:rsid w:val="007B5294"/>
    <w:rsid w:val="007B5BAC"/>
    <w:rsid w:val="007B5DC7"/>
    <w:rsid w:val="007B6674"/>
    <w:rsid w:val="007C0AE9"/>
    <w:rsid w:val="007C2989"/>
    <w:rsid w:val="007C38D0"/>
    <w:rsid w:val="007C4F5E"/>
    <w:rsid w:val="007C5C6E"/>
    <w:rsid w:val="007C60F2"/>
    <w:rsid w:val="007C6B61"/>
    <w:rsid w:val="007C743B"/>
    <w:rsid w:val="007D0B88"/>
    <w:rsid w:val="007D1DB9"/>
    <w:rsid w:val="007D2C90"/>
    <w:rsid w:val="007D5EC0"/>
    <w:rsid w:val="007E2B6F"/>
    <w:rsid w:val="007E426B"/>
    <w:rsid w:val="007E48B4"/>
    <w:rsid w:val="007E4960"/>
    <w:rsid w:val="007E5C99"/>
    <w:rsid w:val="007E6470"/>
    <w:rsid w:val="007E67D7"/>
    <w:rsid w:val="007E764B"/>
    <w:rsid w:val="007F08D0"/>
    <w:rsid w:val="007F1156"/>
    <w:rsid w:val="007F11A8"/>
    <w:rsid w:val="007F7242"/>
    <w:rsid w:val="007F7DFB"/>
    <w:rsid w:val="0080419A"/>
    <w:rsid w:val="00807F3C"/>
    <w:rsid w:val="00812431"/>
    <w:rsid w:val="008162A5"/>
    <w:rsid w:val="008175B9"/>
    <w:rsid w:val="008177F6"/>
    <w:rsid w:val="0081792C"/>
    <w:rsid w:val="0082222D"/>
    <w:rsid w:val="008226D2"/>
    <w:rsid w:val="00822BAB"/>
    <w:rsid w:val="00822FF7"/>
    <w:rsid w:val="0082696C"/>
    <w:rsid w:val="008273BA"/>
    <w:rsid w:val="0083221E"/>
    <w:rsid w:val="008344C2"/>
    <w:rsid w:val="00834CF1"/>
    <w:rsid w:val="0083508C"/>
    <w:rsid w:val="008367F7"/>
    <w:rsid w:val="00840393"/>
    <w:rsid w:val="00840FF7"/>
    <w:rsid w:val="00853A42"/>
    <w:rsid w:val="00854261"/>
    <w:rsid w:val="00854C8C"/>
    <w:rsid w:val="00863CD3"/>
    <w:rsid w:val="0086592E"/>
    <w:rsid w:val="00882CFE"/>
    <w:rsid w:val="0088538D"/>
    <w:rsid w:val="008860F2"/>
    <w:rsid w:val="00886845"/>
    <w:rsid w:val="00887875"/>
    <w:rsid w:val="00891A0F"/>
    <w:rsid w:val="00892CEB"/>
    <w:rsid w:val="00894380"/>
    <w:rsid w:val="00894443"/>
    <w:rsid w:val="00896FC4"/>
    <w:rsid w:val="008A6671"/>
    <w:rsid w:val="008B4F1B"/>
    <w:rsid w:val="008B564C"/>
    <w:rsid w:val="008C13C2"/>
    <w:rsid w:val="008C3623"/>
    <w:rsid w:val="008C4F82"/>
    <w:rsid w:val="008C683A"/>
    <w:rsid w:val="008C6D5F"/>
    <w:rsid w:val="008D097B"/>
    <w:rsid w:val="008D0AAC"/>
    <w:rsid w:val="008D3E27"/>
    <w:rsid w:val="008D4DD9"/>
    <w:rsid w:val="008D4FCE"/>
    <w:rsid w:val="008D5372"/>
    <w:rsid w:val="008D57A0"/>
    <w:rsid w:val="008D7434"/>
    <w:rsid w:val="008D771F"/>
    <w:rsid w:val="008D7B2B"/>
    <w:rsid w:val="008E02F6"/>
    <w:rsid w:val="008E0E3A"/>
    <w:rsid w:val="008E0E70"/>
    <w:rsid w:val="008E5275"/>
    <w:rsid w:val="008E5DDD"/>
    <w:rsid w:val="008E6D97"/>
    <w:rsid w:val="008F0C83"/>
    <w:rsid w:val="008F2618"/>
    <w:rsid w:val="008F312A"/>
    <w:rsid w:val="008F320B"/>
    <w:rsid w:val="008F32CE"/>
    <w:rsid w:val="008F587E"/>
    <w:rsid w:val="00902016"/>
    <w:rsid w:val="00904829"/>
    <w:rsid w:val="00905D0F"/>
    <w:rsid w:val="009117CC"/>
    <w:rsid w:val="0091242F"/>
    <w:rsid w:val="00912525"/>
    <w:rsid w:val="009129D3"/>
    <w:rsid w:val="00912EF0"/>
    <w:rsid w:val="00913D3E"/>
    <w:rsid w:val="00913E78"/>
    <w:rsid w:val="00915A99"/>
    <w:rsid w:val="00920D6F"/>
    <w:rsid w:val="00921D09"/>
    <w:rsid w:val="009220B0"/>
    <w:rsid w:val="009234B6"/>
    <w:rsid w:val="009235C3"/>
    <w:rsid w:val="00924516"/>
    <w:rsid w:val="00924535"/>
    <w:rsid w:val="0092788F"/>
    <w:rsid w:val="00930679"/>
    <w:rsid w:val="009329FA"/>
    <w:rsid w:val="00936405"/>
    <w:rsid w:val="00936F87"/>
    <w:rsid w:val="00937AA6"/>
    <w:rsid w:val="00941610"/>
    <w:rsid w:val="00943C9A"/>
    <w:rsid w:val="0094539E"/>
    <w:rsid w:val="00945649"/>
    <w:rsid w:val="009500CC"/>
    <w:rsid w:val="00950BF1"/>
    <w:rsid w:val="009518E5"/>
    <w:rsid w:val="00952CDE"/>
    <w:rsid w:val="00953112"/>
    <w:rsid w:val="00953B3D"/>
    <w:rsid w:val="009544E7"/>
    <w:rsid w:val="0095717A"/>
    <w:rsid w:val="00957EEC"/>
    <w:rsid w:val="009600FA"/>
    <w:rsid w:val="009607EA"/>
    <w:rsid w:val="00963579"/>
    <w:rsid w:val="00966219"/>
    <w:rsid w:val="00966788"/>
    <w:rsid w:val="00967BB6"/>
    <w:rsid w:val="00972296"/>
    <w:rsid w:val="00972F15"/>
    <w:rsid w:val="00973FF8"/>
    <w:rsid w:val="00980691"/>
    <w:rsid w:val="00980744"/>
    <w:rsid w:val="00980FA0"/>
    <w:rsid w:val="009831F8"/>
    <w:rsid w:val="00983881"/>
    <w:rsid w:val="009839BA"/>
    <w:rsid w:val="00983D58"/>
    <w:rsid w:val="00985ECF"/>
    <w:rsid w:val="00986E9B"/>
    <w:rsid w:val="00987C93"/>
    <w:rsid w:val="009902E5"/>
    <w:rsid w:val="009912B4"/>
    <w:rsid w:val="0099160E"/>
    <w:rsid w:val="009916D7"/>
    <w:rsid w:val="0099237B"/>
    <w:rsid w:val="00992832"/>
    <w:rsid w:val="00992F8B"/>
    <w:rsid w:val="00993498"/>
    <w:rsid w:val="009938B5"/>
    <w:rsid w:val="009949CC"/>
    <w:rsid w:val="009951AD"/>
    <w:rsid w:val="00995C9C"/>
    <w:rsid w:val="009967AF"/>
    <w:rsid w:val="009971E6"/>
    <w:rsid w:val="009A2411"/>
    <w:rsid w:val="009A32F1"/>
    <w:rsid w:val="009A3F7C"/>
    <w:rsid w:val="009A5495"/>
    <w:rsid w:val="009A7A44"/>
    <w:rsid w:val="009B070D"/>
    <w:rsid w:val="009B0A37"/>
    <w:rsid w:val="009B0D36"/>
    <w:rsid w:val="009B187D"/>
    <w:rsid w:val="009B1967"/>
    <w:rsid w:val="009B1A21"/>
    <w:rsid w:val="009B2F36"/>
    <w:rsid w:val="009B307A"/>
    <w:rsid w:val="009B35E0"/>
    <w:rsid w:val="009B3888"/>
    <w:rsid w:val="009B5895"/>
    <w:rsid w:val="009B6836"/>
    <w:rsid w:val="009C1CA9"/>
    <w:rsid w:val="009D2DBB"/>
    <w:rsid w:val="009D6F55"/>
    <w:rsid w:val="009E140D"/>
    <w:rsid w:val="009E4156"/>
    <w:rsid w:val="009E5A22"/>
    <w:rsid w:val="009E7E6B"/>
    <w:rsid w:val="009F2344"/>
    <w:rsid w:val="009F495B"/>
    <w:rsid w:val="009F5633"/>
    <w:rsid w:val="009F7E23"/>
    <w:rsid w:val="00A0021E"/>
    <w:rsid w:val="00A00C79"/>
    <w:rsid w:val="00A01A81"/>
    <w:rsid w:val="00A0573A"/>
    <w:rsid w:val="00A074EB"/>
    <w:rsid w:val="00A139C1"/>
    <w:rsid w:val="00A15F9D"/>
    <w:rsid w:val="00A2483B"/>
    <w:rsid w:val="00A24F4E"/>
    <w:rsid w:val="00A26A6A"/>
    <w:rsid w:val="00A27A22"/>
    <w:rsid w:val="00A3003C"/>
    <w:rsid w:val="00A3055E"/>
    <w:rsid w:val="00A309B9"/>
    <w:rsid w:val="00A31DFD"/>
    <w:rsid w:val="00A354D8"/>
    <w:rsid w:val="00A40791"/>
    <w:rsid w:val="00A40EF0"/>
    <w:rsid w:val="00A41968"/>
    <w:rsid w:val="00A42FE6"/>
    <w:rsid w:val="00A45338"/>
    <w:rsid w:val="00A45534"/>
    <w:rsid w:val="00A51091"/>
    <w:rsid w:val="00A55902"/>
    <w:rsid w:val="00A56C7D"/>
    <w:rsid w:val="00A57CBE"/>
    <w:rsid w:val="00A57CFC"/>
    <w:rsid w:val="00A604E0"/>
    <w:rsid w:val="00A6090A"/>
    <w:rsid w:val="00A631E1"/>
    <w:rsid w:val="00A64F01"/>
    <w:rsid w:val="00A65C4E"/>
    <w:rsid w:val="00A66C85"/>
    <w:rsid w:val="00A716F6"/>
    <w:rsid w:val="00A71CBA"/>
    <w:rsid w:val="00A732F1"/>
    <w:rsid w:val="00A741F2"/>
    <w:rsid w:val="00A758E3"/>
    <w:rsid w:val="00A81938"/>
    <w:rsid w:val="00A82C11"/>
    <w:rsid w:val="00A834CE"/>
    <w:rsid w:val="00A83508"/>
    <w:rsid w:val="00A83BDC"/>
    <w:rsid w:val="00A84828"/>
    <w:rsid w:val="00A853FF"/>
    <w:rsid w:val="00A8648D"/>
    <w:rsid w:val="00A87C73"/>
    <w:rsid w:val="00A91C23"/>
    <w:rsid w:val="00A92BFF"/>
    <w:rsid w:val="00A936AB"/>
    <w:rsid w:val="00A9378B"/>
    <w:rsid w:val="00A955C8"/>
    <w:rsid w:val="00A96AD1"/>
    <w:rsid w:val="00A97CE7"/>
    <w:rsid w:val="00A97F43"/>
    <w:rsid w:val="00AA028C"/>
    <w:rsid w:val="00AA1F4A"/>
    <w:rsid w:val="00AA42CB"/>
    <w:rsid w:val="00AA4713"/>
    <w:rsid w:val="00AA5ED8"/>
    <w:rsid w:val="00AB0154"/>
    <w:rsid w:val="00AB2A45"/>
    <w:rsid w:val="00AB59D7"/>
    <w:rsid w:val="00AB65A7"/>
    <w:rsid w:val="00AB74B1"/>
    <w:rsid w:val="00AC2BF0"/>
    <w:rsid w:val="00AC2F32"/>
    <w:rsid w:val="00AC3DE4"/>
    <w:rsid w:val="00AC4891"/>
    <w:rsid w:val="00AC4BA9"/>
    <w:rsid w:val="00AC5029"/>
    <w:rsid w:val="00AC644C"/>
    <w:rsid w:val="00AC68A2"/>
    <w:rsid w:val="00AD09BB"/>
    <w:rsid w:val="00AD0AA9"/>
    <w:rsid w:val="00AD0AC2"/>
    <w:rsid w:val="00AD59CE"/>
    <w:rsid w:val="00AD7613"/>
    <w:rsid w:val="00AE40F7"/>
    <w:rsid w:val="00AE5ACC"/>
    <w:rsid w:val="00AF0C15"/>
    <w:rsid w:val="00AF41D7"/>
    <w:rsid w:val="00AF468F"/>
    <w:rsid w:val="00AF535A"/>
    <w:rsid w:val="00AF5F37"/>
    <w:rsid w:val="00AF79F4"/>
    <w:rsid w:val="00AF7EF5"/>
    <w:rsid w:val="00B01FF3"/>
    <w:rsid w:val="00B02F68"/>
    <w:rsid w:val="00B07789"/>
    <w:rsid w:val="00B107F5"/>
    <w:rsid w:val="00B13DAC"/>
    <w:rsid w:val="00B147D7"/>
    <w:rsid w:val="00B16258"/>
    <w:rsid w:val="00B170F3"/>
    <w:rsid w:val="00B218E5"/>
    <w:rsid w:val="00B27AC8"/>
    <w:rsid w:val="00B30A7D"/>
    <w:rsid w:val="00B31E5C"/>
    <w:rsid w:val="00B33210"/>
    <w:rsid w:val="00B34065"/>
    <w:rsid w:val="00B360D7"/>
    <w:rsid w:val="00B37E3C"/>
    <w:rsid w:val="00B420A5"/>
    <w:rsid w:val="00B433CF"/>
    <w:rsid w:val="00B437A8"/>
    <w:rsid w:val="00B43B90"/>
    <w:rsid w:val="00B44C6A"/>
    <w:rsid w:val="00B458A2"/>
    <w:rsid w:val="00B527AC"/>
    <w:rsid w:val="00B54C53"/>
    <w:rsid w:val="00B54C72"/>
    <w:rsid w:val="00B55316"/>
    <w:rsid w:val="00B56B76"/>
    <w:rsid w:val="00B605EE"/>
    <w:rsid w:val="00B633E7"/>
    <w:rsid w:val="00B707C4"/>
    <w:rsid w:val="00B7329B"/>
    <w:rsid w:val="00B745BD"/>
    <w:rsid w:val="00B74FF3"/>
    <w:rsid w:val="00B751A7"/>
    <w:rsid w:val="00B76ACE"/>
    <w:rsid w:val="00B76BD2"/>
    <w:rsid w:val="00B774DC"/>
    <w:rsid w:val="00B80B97"/>
    <w:rsid w:val="00B82423"/>
    <w:rsid w:val="00B84061"/>
    <w:rsid w:val="00B867EF"/>
    <w:rsid w:val="00B8792D"/>
    <w:rsid w:val="00B93972"/>
    <w:rsid w:val="00B957C3"/>
    <w:rsid w:val="00B96024"/>
    <w:rsid w:val="00B96A9E"/>
    <w:rsid w:val="00B978D0"/>
    <w:rsid w:val="00BA028F"/>
    <w:rsid w:val="00BA1797"/>
    <w:rsid w:val="00BA37B6"/>
    <w:rsid w:val="00BA3E55"/>
    <w:rsid w:val="00BB122F"/>
    <w:rsid w:val="00BB1E6D"/>
    <w:rsid w:val="00BB435A"/>
    <w:rsid w:val="00BB7B4A"/>
    <w:rsid w:val="00BB7C66"/>
    <w:rsid w:val="00BC27A3"/>
    <w:rsid w:val="00BC658B"/>
    <w:rsid w:val="00BD276D"/>
    <w:rsid w:val="00BD56FD"/>
    <w:rsid w:val="00BD7A81"/>
    <w:rsid w:val="00BE1F12"/>
    <w:rsid w:val="00BE30A4"/>
    <w:rsid w:val="00BE44FC"/>
    <w:rsid w:val="00BE7A33"/>
    <w:rsid w:val="00BE7E7B"/>
    <w:rsid w:val="00BF0287"/>
    <w:rsid w:val="00BF1288"/>
    <w:rsid w:val="00BF1308"/>
    <w:rsid w:val="00BF4F93"/>
    <w:rsid w:val="00BF60DC"/>
    <w:rsid w:val="00BF7BCF"/>
    <w:rsid w:val="00C0014D"/>
    <w:rsid w:val="00C00810"/>
    <w:rsid w:val="00C04A5D"/>
    <w:rsid w:val="00C10DD3"/>
    <w:rsid w:val="00C11F5F"/>
    <w:rsid w:val="00C12C63"/>
    <w:rsid w:val="00C14F8A"/>
    <w:rsid w:val="00C16664"/>
    <w:rsid w:val="00C170F6"/>
    <w:rsid w:val="00C21389"/>
    <w:rsid w:val="00C22BBA"/>
    <w:rsid w:val="00C24DBB"/>
    <w:rsid w:val="00C24E75"/>
    <w:rsid w:val="00C2559C"/>
    <w:rsid w:val="00C26482"/>
    <w:rsid w:val="00C2741F"/>
    <w:rsid w:val="00C314A5"/>
    <w:rsid w:val="00C34336"/>
    <w:rsid w:val="00C3513D"/>
    <w:rsid w:val="00C361AA"/>
    <w:rsid w:val="00C374AC"/>
    <w:rsid w:val="00C41384"/>
    <w:rsid w:val="00C415B8"/>
    <w:rsid w:val="00C41BC2"/>
    <w:rsid w:val="00C43163"/>
    <w:rsid w:val="00C440BD"/>
    <w:rsid w:val="00C44A05"/>
    <w:rsid w:val="00C45470"/>
    <w:rsid w:val="00C45B95"/>
    <w:rsid w:val="00C46A3B"/>
    <w:rsid w:val="00C5210F"/>
    <w:rsid w:val="00C557E4"/>
    <w:rsid w:val="00C56DAF"/>
    <w:rsid w:val="00C57153"/>
    <w:rsid w:val="00C5748F"/>
    <w:rsid w:val="00C5749A"/>
    <w:rsid w:val="00C60251"/>
    <w:rsid w:val="00C611B4"/>
    <w:rsid w:val="00C61214"/>
    <w:rsid w:val="00C61CBD"/>
    <w:rsid w:val="00C62F51"/>
    <w:rsid w:val="00C63E36"/>
    <w:rsid w:val="00C65073"/>
    <w:rsid w:val="00C6599E"/>
    <w:rsid w:val="00C65BB2"/>
    <w:rsid w:val="00C6614D"/>
    <w:rsid w:val="00C66C3D"/>
    <w:rsid w:val="00C70452"/>
    <w:rsid w:val="00C70673"/>
    <w:rsid w:val="00C7376D"/>
    <w:rsid w:val="00C76297"/>
    <w:rsid w:val="00C830B8"/>
    <w:rsid w:val="00C8494B"/>
    <w:rsid w:val="00C86210"/>
    <w:rsid w:val="00C90CF1"/>
    <w:rsid w:val="00C964E4"/>
    <w:rsid w:val="00C96782"/>
    <w:rsid w:val="00CA16C2"/>
    <w:rsid w:val="00CA6CCD"/>
    <w:rsid w:val="00CB050D"/>
    <w:rsid w:val="00CB22CC"/>
    <w:rsid w:val="00CB5CF9"/>
    <w:rsid w:val="00CB7122"/>
    <w:rsid w:val="00CB755D"/>
    <w:rsid w:val="00CC09DB"/>
    <w:rsid w:val="00CC2F58"/>
    <w:rsid w:val="00CC43EA"/>
    <w:rsid w:val="00CC462A"/>
    <w:rsid w:val="00CC4AF3"/>
    <w:rsid w:val="00CC572E"/>
    <w:rsid w:val="00CC594B"/>
    <w:rsid w:val="00CD0323"/>
    <w:rsid w:val="00CD09CF"/>
    <w:rsid w:val="00CD0EAF"/>
    <w:rsid w:val="00CD0F5A"/>
    <w:rsid w:val="00CD1523"/>
    <w:rsid w:val="00CD16A6"/>
    <w:rsid w:val="00CD3146"/>
    <w:rsid w:val="00CD38FD"/>
    <w:rsid w:val="00CD4551"/>
    <w:rsid w:val="00CD4BB5"/>
    <w:rsid w:val="00CE5BAB"/>
    <w:rsid w:val="00CE6379"/>
    <w:rsid w:val="00CE7DCB"/>
    <w:rsid w:val="00CF126D"/>
    <w:rsid w:val="00CF374E"/>
    <w:rsid w:val="00CF5252"/>
    <w:rsid w:val="00CF6E5D"/>
    <w:rsid w:val="00CF7878"/>
    <w:rsid w:val="00CF7AE6"/>
    <w:rsid w:val="00CF7F77"/>
    <w:rsid w:val="00D00A35"/>
    <w:rsid w:val="00D023BC"/>
    <w:rsid w:val="00D05471"/>
    <w:rsid w:val="00D0556C"/>
    <w:rsid w:val="00D10757"/>
    <w:rsid w:val="00D10E2B"/>
    <w:rsid w:val="00D13250"/>
    <w:rsid w:val="00D1443A"/>
    <w:rsid w:val="00D15312"/>
    <w:rsid w:val="00D17057"/>
    <w:rsid w:val="00D202C5"/>
    <w:rsid w:val="00D21846"/>
    <w:rsid w:val="00D22406"/>
    <w:rsid w:val="00D2290C"/>
    <w:rsid w:val="00D22BEE"/>
    <w:rsid w:val="00D25924"/>
    <w:rsid w:val="00D25999"/>
    <w:rsid w:val="00D31AF9"/>
    <w:rsid w:val="00D4160A"/>
    <w:rsid w:val="00D41986"/>
    <w:rsid w:val="00D41A1C"/>
    <w:rsid w:val="00D41EB5"/>
    <w:rsid w:val="00D4202E"/>
    <w:rsid w:val="00D438F6"/>
    <w:rsid w:val="00D44521"/>
    <w:rsid w:val="00D46685"/>
    <w:rsid w:val="00D467B4"/>
    <w:rsid w:val="00D47E22"/>
    <w:rsid w:val="00D526AF"/>
    <w:rsid w:val="00D529EB"/>
    <w:rsid w:val="00D54F06"/>
    <w:rsid w:val="00D54F66"/>
    <w:rsid w:val="00D5701F"/>
    <w:rsid w:val="00D62A35"/>
    <w:rsid w:val="00D6330C"/>
    <w:rsid w:val="00D639CB"/>
    <w:rsid w:val="00D65322"/>
    <w:rsid w:val="00D66043"/>
    <w:rsid w:val="00D6664A"/>
    <w:rsid w:val="00D731E4"/>
    <w:rsid w:val="00D74518"/>
    <w:rsid w:val="00D75FEE"/>
    <w:rsid w:val="00D84FFA"/>
    <w:rsid w:val="00D85001"/>
    <w:rsid w:val="00D851E3"/>
    <w:rsid w:val="00D8532B"/>
    <w:rsid w:val="00D85E42"/>
    <w:rsid w:val="00D86572"/>
    <w:rsid w:val="00D870CE"/>
    <w:rsid w:val="00D91E86"/>
    <w:rsid w:val="00D91EE9"/>
    <w:rsid w:val="00D93CC7"/>
    <w:rsid w:val="00D95906"/>
    <w:rsid w:val="00D962BA"/>
    <w:rsid w:val="00D968DD"/>
    <w:rsid w:val="00DA2364"/>
    <w:rsid w:val="00DA2DC8"/>
    <w:rsid w:val="00DA3479"/>
    <w:rsid w:val="00DB0140"/>
    <w:rsid w:val="00DB2BBD"/>
    <w:rsid w:val="00DB2F34"/>
    <w:rsid w:val="00DB3E54"/>
    <w:rsid w:val="00DB7A52"/>
    <w:rsid w:val="00DB7D11"/>
    <w:rsid w:val="00DC2E79"/>
    <w:rsid w:val="00DC3FAF"/>
    <w:rsid w:val="00DC4F17"/>
    <w:rsid w:val="00DC6558"/>
    <w:rsid w:val="00DC6EBC"/>
    <w:rsid w:val="00DD02AB"/>
    <w:rsid w:val="00DD162B"/>
    <w:rsid w:val="00DD1C5A"/>
    <w:rsid w:val="00DD2740"/>
    <w:rsid w:val="00DD28FB"/>
    <w:rsid w:val="00DD3E3E"/>
    <w:rsid w:val="00DD5165"/>
    <w:rsid w:val="00DE1A5B"/>
    <w:rsid w:val="00DE223B"/>
    <w:rsid w:val="00DE40ED"/>
    <w:rsid w:val="00DE6B23"/>
    <w:rsid w:val="00DE70E1"/>
    <w:rsid w:val="00DF0377"/>
    <w:rsid w:val="00DF050C"/>
    <w:rsid w:val="00DF1104"/>
    <w:rsid w:val="00DF1490"/>
    <w:rsid w:val="00DF16E8"/>
    <w:rsid w:val="00DF1C7C"/>
    <w:rsid w:val="00DF1CBF"/>
    <w:rsid w:val="00DF2D29"/>
    <w:rsid w:val="00DF3FD8"/>
    <w:rsid w:val="00DF6180"/>
    <w:rsid w:val="00DF6AAB"/>
    <w:rsid w:val="00DF70C3"/>
    <w:rsid w:val="00DF7F6C"/>
    <w:rsid w:val="00E00687"/>
    <w:rsid w:val="00E011B0"/>
    <w:rsid w:val="00E01486"/>
    <w:rsid w:val="00E01BB0"/>
    <w:rsid w:val="00E03B24"/>
    <w:rsid w:val="00E045FA"/>
    <w:rsid w:val="00E0477B"/>
    <w:rsid w:val="00E04F9E"/>
    <w:rsid w:val="00E06E0E"/>
    <w:rsid w:val="00E118CD"/>
    <w:rsid w:val="00E13BCC"/>
    <w:rsid w:val="00E14955"/>
    <w:rsid w:val="00E15CA1"/>
    <w:rsid w:val="00E15D7C"/>
    <w:rsid w:val="00E27FF1"/>
    <w:rsid w:val="00E30029"/>
    <w:rsid w:val="00E312B0"/>
    <w:rsid w:val="00E321FE"/>
    <w:rsid w:val="00E32B1E"/>
    <w:rsid w:val="00E32F8A"/>
    <w:rsid w:val="00E3462F"/>
    <w:rsid w:val="00E36DDF"/>
    <w:rsid w:val="00E40AA4"/>
    <w:rsid w:val="00E41307"/>
    <w:rsid w:val="00E413C5"/>
    <w:rsid w:val="00E426DF"/>
    <w:rsid w:val="00E44BCD"/>
    <w:rsid w:val="00E45315"/>
    <w:rsid w:val="00E517D8"/>
    <w:rsid w:val="00E53B8F"/>
    <w:rsid w:val="00E556B2"/>
    <w:rsid w:val="00E56C84"/>
    <w:rsid w:val="00E602FF"/>
    <w:rsid w:val="00E606E7"/>
    <w:rsid w:val="00E648EB"/>
    <w:rsid w:val="00E6565D"/>
    <w:rsid w:val="00E66122"/>
    <w:rsid w:val="00E66D63"/>
    <w:rsid w:val="00E67750"/>
    <w:rsid w:val="00E7114E"/>
    <w:rsid w:val="00E7175A"/>
    <w:rsid w:val="00E74837"/>
    <w:rsid w:val="00E75164"/>
    <w:rsid w:val="00E76C91"/>
    <w:rsid w:val="00E82C8A"/>
    <w:rsid w:val="00E8759A"/>
    <w:rsid w:val="00E8777A"/>
    <w:rsid w:val="00E9039C"/>
    <w:rsid w:val="00E90C66"/>
    <w:rsid w:val="00E912EE"/>
    <w:rsid w:val="00E92D18"/>
    <w:rsid w:val="00EA284B"/>
    <w:rsid w:val="00EA309B"/>
    <w:rsid w:val="00EA56C9"/>
    <w:rsid w:val="00EA6FE1"/>
    <w:rsid w:val="00EB3889"/>
    <w:rsid w:val="00EB499F"/>
    <w:rsid w:val="00EB5198"/>
    <w:rsid w:val="00EB63AD"/>
    <w:rsid w:val="00EB6570"/>
    <w:rsid w:val="00EB69C5"/>
    <w:rsid w:val="00EC0133"/>
    <w:rsid w:val="00EC2113"/>
    <w:rsid w:val="00EC3184"/>
    <w:rsid w:val="00EC440A"/>
    <w:rsid w:val="00EC4A05"/>
    <w:rsid w:val="00EC7836"/>
    <w:rsid w:val="00ED257F"/>
    <w:rsid w:val="00ED31B6"/>
    <w:rsid w:val="00ED6C6C"/>
    <w:rsid w:val="00EE02D1"/>
    <w:rsid w:val="00EE0C11"/>
    <w:rsid w:val="00EE1B6A"/>
    <w:rsid w:val="00EE30A1"/>
    <w:rsid w:val="00EE39B2"/>
    <w:rsid w:val="00EE53D5"/>
    <w:rsid w:val="00EF0CDF"/>
    <w:rsid w:val="00EF0D66"/>
    <w:rsid w:val="00EF360D"/>
    <w:rsid w:val="00EF46E4"/>
    <w:rsid w:val="00EF4D9E"/>
    <w:rsid w:val="00F003FB"/>
    <w:rsid w:val="00F0160C"/>
    <w:rsid w:val="00F04385"/>
    <w:rsid w:val="00F06E07"/>
    <w:rsid w:val="00F06E76"/>
    <w:rsid w:val="00F07D8E"/>
    <w:rsid w:val="00F11951"/>
    <w:rsid w:val="00F12207"/>
    <w:rsid w:val="00F1562B"/>
    <w:rsid w:val="00F16AC0"/>
    <w:rsid w:val="00F211FF"/>
    <w:rsid w:val="00F25106"/>
    <w:rsid w:val="00F279BC"/>
    <w:rsid w:val="00F32076"/>
    <w:rsid w:val="00F34146"/>
    <w:rsid w:val="00F34BB6"/>
    <w:rsid w:val="00F34E00"/>
    <w:rsid w:val="00F34F38"/>
    <w:rsid w:val="00F3546D"/>
    <w:rsid w:val="00F358AE"/>
    <w:rsid w:val="00F364E1"/>
    <w:rsid w:val="00F364EC"/>
    <w:rsid w:val="00F46599"/>
    <w:rsid w:val="00F46D76"/>
    <w:rsid w:val="00F51D2D"/>
    <w:rsid w:val="00F52A70"/>
    <w:rsid w:val="00F542CD"/>
    <w:rsid w:val="00F54BA6"/>
    <w:rsid w:val="00F56160"/>
    <w:rsid w:val="00F5723F"/>
    <w:rsid w:val="00F60818"/>
    <w:rsid w:val="00F62B05"/>
    <w:rsid w:val="00F63637"/>
    <w:rsid w:val="00F644DB"/>
    <w:rsid w:val="00F6471F"/>
    <w:rsid w:val="00F665EC"/>
    <w:rsid w:val="00F70423"/>
    <w:rsid w:val="00F76CD3"/>
    <w:rsid w:val="00F80A53"/>
    <w:rsid w:val="00F816A7"/>
    <w:rsid w:val="00F81FEA"/>
    <w:rsid w:val="00F8611A"/>
    <w:rsid w:val="00F92033"/>
    <w:rsid w:val="00F936AB"/>
    <w:rsid w:val="00F963FF"/>
    <w:rsid w:val="00F96E4C"/>
    <w:rsid w:val="00F97F99"/>
    <w:rsid w:val="00FA0A27"/>
    <w:rsid w:val="00FA0F84"/>
    <w:rsid w:val="00FA1788"/>
    <w:rsid w:val="00FA3B15"/>
    <w:rsid w:val="00FA51E3"/>
    <w:rsid w:val="00FA5206"/>
    <w:rsid w:val="00FA6949"/>
    <w:rsid w:val="00FB7B7F"/>
    <w:rsid w:val="00FC0531"/>
    <w:rsid w:val="00FC1CFE"/>
    <w:rsid w:val="00FC2ED7"/>
    <w:rsid w:val="00FC38DC"/>
    <w:rsid w:val="00FC4384"/>
    <w:rsid w:val="00FC51CA"/>
    <w:rsid w:val="00FC72BC"/>
    <w:rsid w:val="00FD1FE0"/>
    <w:rsid w:val="00FD5877"/>
    <w:rsid w:val="00FF0036"/>
    <w:rsid w:val="00FF1DE0"/>
    <w:rsid w:val="00FF40D6"/>
    <w:rsid w:val="00FF4B55"/>
    <w:rsid w:val="00FF4E23"/>
    <w:rsid w:val="00FF6C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colormru v:ext="edit" colors="#98999b,#93b633,#3178b8,#113e76,#7bc143,#f96,#e46c0a,#93959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D520F"/>
    <w:pPr>
      <w:spacing w:after="200"/>
    </w:pPr>
    <w:rPr>
      <w:sz w:val="24"/>
      <w:szCs w:val="24"/>
      <w:lang w:val="en-GB" w:eastAsia="en-US"/>
    </w:rPr>
  </w:style>
  <w:style w:type="paragraph" w:styleId="Heading1">
    <w:name w:val="heading 1"/>
    <w:basedOn w:val="Normal"/>
    <w:next w:val="Normal"/>
    <w:link w:val="Heading1Char"/>
    <w:qFormat/>
    <w:rsid w:val="000803AD"/>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3AD"/>
    <w:rPr>
      <w:rFonts w:ascii="Calibri" w:eastAsia="Times New Roman" w:hAnsi="Calibri" w:cs="Times New Roman"/>
      <w:b/>
      <w:bCs/>
      <w:kern w:val="32"/>
      <w:sz w:val="32"/>
      <w:szCs w:val="32"/>
      <w:lang w:val="en-GB"/>
    </w:rPr>
  </w:style>
  <w:style w:type="table" w:styleId="TableGrid">
    <w:name w:val="Table Grid"/>
    <w:basedOn w:val="TableNormal"/>
    <w:uiPriority w:val="1"/>
    <w:rsid w:val="00C314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next w:val="Heading1"/>
    <w:link w:val="HeaderChar"/>
    <w:uiPriority w:val="99"/>
    <w:unhideWhenUsed/>
    <w:rsid w:val="00665D50"/>
    <w:pPr>
      <w:tabs>
        <w:tab w:val="center" w:pos="4320"/>
        <w:tab w:val="right" w:pos="8640"/>
      </w:tabs>
      <w:spacing w:after="0"/>
    </w:pPr>
  </w:style>
  <w:style w:type="character" w:customStyle="1" w:styleId="HeaderChar">
    <w:name w:val="Header Char"/>
    <w:basedOn w:val="DefaultParagraphFont"/>
    <w:link w:val="Header"/>
    <w:uiPriority w:val="99"/>
    <w:rsid w:val="00665D50"/>
    <w:rPr>
      <w:lang w:val="en-GB"/>
    </w:rPr>
  </w:style>
  <w:style w:type="paragraph" w:styleId="Footer">
    <w:name w:val="footer"/>
    <w:basedOn w:val="Normal"/>
    <w:link w:val="FooterChar"/>
    <w:uiPriority w:val="99"/>
    <w:unhideWhenUsed/>
    <w:rsid w:val="00665D50"/>
    <w:pPr>
      <w:tabs>
        <w:tab w:val="center" w:pos="4320"/>
        <w:tab w:val="right" w:pos="8640"/>
      </w:tabs>
      <w:spacing w:after="0"/>
    </w:pPr>
  </w:style>
  <w:style w:type="character" w:customStyle="1" w:styleId="FooterChar">
    <w:name w:val="Footer Char"/>
    <w:basedOn w:val="DefaultParagraphFont"/>
    <w:link w:val="Footer"/>
    <w:uiPriority w:val="99"/>
    <w:rsid w:val="00665D50"/>
    <w:rPr>
      <w:lang w:val="en-GB"/>
    </w:rPr>
  </w:style>
  <w:style w:type="paragraph" w:customStyle="1" w:styleId="Default">
    <w:name w:val="Default"/>
    <w:rsid w:val="00893252"/>
    <w:pPr>
      <w:autoSpaceDE w:val="0"/>
      <w:autoSpaceDN w:val="0"/>
      <w:adjustRightInd w:val="0"/>
    </w:pPr>
    <w:rPr>
      <w:rFonts w:ascii="Trebuchet MS" w:hAnsi="Trebuchet MS" w:cs="Trebuchet MS"/>
      <w:color w:val="000000"/>
      <w:sz w:val="24"/>
      <w:szCs w:val="24"/>
      <w:lang w:val="en-GB" w:eastAsia="en-GB"/>
    </w:rPr>
  </w:style>
  <w:style w:type="paragraph" w:styleId="BalloonText">
    <w:name w:val="Balloon Text"/>
    <w:basedOn w:val="Normal"/>
    <w:link w:val="BalloonTextChar"/>
    <w:rsid w:val="00893252"/>
    <w:pPr>
      <w:spacing w:after="0"/>
    </w:pPr>
    <w:rPr>
      <w:rFonts w:ascii="Tahoma" w:hAnsi="Tahoma" w:cs="Tahoma"/>
      <w:sz w:val="16"/>
      <w:szCs w:val="16"/>
    </w:rPr>
  </w:style>
  <w:style w:type="character" w:customStyle="1" w:styleId="BalloonTextChar">
    <w:name w:val="Balloon Text Char"/>
    <w:basedOn w:val="DefaultParagraphFont"/>
    <w:link w:val="BalloonText"/>
    <w:rsid w:val="00893252"/>
    <w:rPr>
      <w:rFonts w:ascii="Tahoma" w:hAnsi="Tahoma" w:cs="Tahoma"/>
      <w:sz w:val="16"/>
      <w:szCs w:val="16"/>
      <w:lang w:eastAsia="en-US"/>
    </w:rPr>
  </w:style>
  <w:style w:type="character" w:styleId="PageNumber">
    <w:name w:val="page number"/>
    <w:basedOn w:val="DefaultParagraphFont"/>
    <w:rsid w:val="002263C2"/>
  </w:style>
  <w:style w:type="table" w:styleId="MediumGrid3-Accent2">
    <w:name w:val="Medium Grid 3 Accent 2"/>
    <w:basedOn w:val="TableNormal"/>
    <w:uiPriority w:val="60"/>
    <w:qFormat/>
    <w:rsid w:val="00A154F8"/>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rsid w:val="00647FEE"/>
    <w:rPr>
      <w:color w:val="0000FF"/>
      <w:u w:val="single"/>
    </w:rPr>
  </w:style>
  <w:style w:type="character" w:styleId="FollowedHyperlink">
    <w:name w:val="FollowedHyperlink"/>
    <w:basedOn w:val="DefaultParagraphFont"/>
    <w:uiPriority w:val="99"/>
    <w:rsid w:val="0057663D"/>
    <w:rPr>
      <w:color w:val="800080"/>
      <w:u w:val="single"/>
    </w:rPr>
  </w:style>
  <w:style w:type="paragraph" w:styleId="ListParagraph">
    <w:name w:val="List Paragraph"/>
    <w:basedOn w:val="Normal"/>
    <w:uiPriority w:val="34"/>
    <w:qFormat/>
    <w:rsid w:val="00AC2BF0"/>
    <w:pPr>
      <w:spacing w:line="276" w:lineRule="auto"/>
      <w:ind w:left="720"/>
      <w:contextualSpacing/>
    </w:pPr>
    <w:rPr>
      <w:rFonts w:ascii="Calibri" w:eastAsia="SimSun" w:hAnsi="Calibri"/>
      <w:sz w:val="22"/>
      <w:szCs w:val="22"/>
      <w:lang w:val="en-US" w:eastAsia="zh-CN"/>
    </w:rPr>
  </w:style>
  <w:style w:type="paragraph" w:styleId="NoSpacing">
    <w:name w:val="No Spacing"/>
    <w:basedOn w:val="Normal"/>
    <w:uiPriority w:val="1"/>
    <w:qFormat/>
    <w:rsid w:val="00FF4E23"/>
    <w:pPr>
      <w:spacing w:after="0"/>
    </w:pPr>
    <w:rPr>
      <w:rFonts w:eastAsia="MS Mincho"/>
      <w:lang w:val="en-US" w:eastAsia="ja-JP"/>
    </w:rPr>
  </w:style>
  <w:style w:type="character" w:styleId="CommentReference">
    <w:name w:val="annotation reference"/>
    <w:basedOn w:val="DefaultParagraphFont"/>
    <w:rsid w:val="00041ACE"/>
    <w:rPr>
      <w:sz w:val="16"/>
      <w:szCs w:val="16"/>
    </w:rPr>
  </w:style>
  <w:style w:type="paragraph" w:styleId="CommentText">
    <w:name w:val="annotation text"/>
    <w:basedOn w:val="Normal"/>
    <w:link w:val="CommentTextChar"/>
    <w:rsid w:val="00041ACE"/>
    <w:rPr>
      <w:sz w:val="20"/>
      <w:szCs w:val="20"/>
    </w:rPr>
  </w:style>
  <w:style w:type="character" w:customStyle="1" w:styleId="CommentTextChar">
    <w:name w:val="Comment Text Char"/>
    <w:basedOn w:val="DefaultParagraphFont"/>
    <w:link w:val="CommentText"/>
    <w:rsid w:val="00041ACE"/>
    <w:rPr>
      <w:lang w:val="en-GB" w:eastAsia="en-US"/>
    </w:rPr>
  </w:style>
  <w:style w:type="paragraph" w:styleId="CommentSubject">
    <w:name w:val="annotation subject"/>
    <w:basedOn w:val="CommentText"/>
    <w:next w:val="CommentText"/>
    <w:link w:val="CommentSubjectChar"/>
    <w:rsid w:val="00041ACE"/>
    <w:rPr>
      <w:b/>
      <w:bCs/>
    </w:rPr>
  </w:style>
  <w:style w:type="character" w:customStyle="1" w:styleId="CommentSubjectChar">
    <w:name w:val="Comment Subject Char"/>
    <w:basedOn w:val="CommentTextChar"/>
    <w:link w:val="CommentSubject"/>
    <w:rsid w:val="00041ACE"/>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0937">
      <w:bodyDiv w:val="1"/>
      <w:marLeft w:val="0"/>
      <w:marRight w:val="0"/>
      <w:marTop w:val="0"/>
      <w:marBottom w:val="0"/>
      <w:divBdr>
        <w:top w:val="none" w:sz="0" w:space="0" w:color="auto"/>
        <w:left w:val="none" w:sz="0" w:space="0" w:color="auto"/>
        <w:bottom w:val="none" w:sz="0" w:space="0" w:color="auto"/>
        <w:right w:val="none" w:sz="0" w:space="0" w:color="auto"/>
      </w:divBdr>
    </w:div>
    <w:div w:id="217010075">
      <w:bodyDiv w:val="1"/>
      <w:marLeft w:val="0"/>
      <w:marRight w:val="0"/>
      <w:marTop w:val="0"/>
      <w:marBottom w:val="0"/>
      <w:divBdr>
        <w:top w:val="none" w:sz="0" w:space="0" w:color="auto"/>
        <w:left w:val="none" w:sz="0" w:space="0" w:color="auto"/>
        <w:bottom w:val="none" w:sz="0" w:space="0" w:color="auto"/>
        <w:right w:val="none" w:sz="0" w:space="0" w:color="auto"/>
      </w:divBdr>
    </w:div>
    <w:div w:id="272635713">
      <w:bodyDiv w:val="1"/>
      <w:marLeft w:val="0"/>
      <w:marRight w:val="0"/>
      <w:marTop w:val="0"/>
      <w:marBottom w:val="0"/>
      <w:divBdr>
        <w:top w:val="none" w:sz="0" w:space="0" w:color="auto"/>
        <w:left w:val="none" w:sz="0" w:space="0" w:color="auto"/>
        <w:bottom w:val="none" w:sz="0" w:space="0" w:color="auto"/>
        <w:right w:val="none" w:sz="0" w:space="0" w:color="auto"/>
      </w:divBdr>
    </w:div>
    <w:div w:id="776751829">
      <w:bodyDiv w:val="1"/>
      <w:marLeft w:val="0"/>
      <w:marRight w:val="0"/>
      <w:marTop w:val="0"/>
      <w:marBottom w:val="0"/>
      <w:divBdr>
        <w:top w:val="none" w:sz="0" w:space="0" w:color="auto"/>
        <w:left w:val="none" w:sz="0" w:space="0" w:color="auto"/>
        <w:bottom w:val="none" w:sz="0" w:space="0" w:color="auto"/>
        <w:right w:val="none" w:sz="0" w:space="0" w:color="auto"/>
      </w:divBdr>
    </w:div>
    <w:div w:id="1057707178">
      <w:bodyDiv w:val="1"/>
      <w:marLeft w:val="0"/>
      <w:marRight w:val="0"/>
      <w:marTop w:val="0"/>
      <w:marBottom w:val="0"/>
      <w:divBdr>
        <w:top w:val="none" w:sz="0" w:space="0" w:color="auto"/>
        <w:left w:val="none" w:sz="0" w:space="0" w:color="auto"/>
        <w:bottom w:val="none" w:sz="0" w:space="0" w:color="auto"/>
        <w:right w:val="none" w:sz="0" w:space="0" w:color="auto"/>
      </w:divBdr>
    </w:div>
    <w:div w:id="1161047536">
      <w:bodyDiv w:val="1"/>
      <w:marLeft w:val="0"/>
      <w:marRight w:val="0"/>
      <w:marTop w:val="0"/>
      <w:marBottom w:val="0"/>
      <w:divBdr>
        <w:top w:val="none" w:sz="0" w:space="0" w:color="auto"/>
        <w:left w:val="none" w:sz="0" w:space="0" w:color="auto"/>
        <w:bottom w:val="none" w:sz="0" w:space="0" w:color="auto"/>
        <w:right w:val="none" w:sz="0" w:space="0" w:color="auto"/>
      </w:divBdr>
    </w:div>
    <w:div w:id="1414275364">
      <w:bodyDiv w:val="1"/>
      <w:marLeft w:val="0"/>
      <w:marRight w:val="0"/>
      <w:marTop w:val="0"/>
      <w:marBottom w:val="0"/>
      <w:divBdr>
        <w:top w:val="none" w:sz="0" w:space="0" w:color="auto"/>
        <w:left w:val="none" w:sz="0" w:space="0" w:color="auto"/>
        <w:bottom w:val="none" w:sz="0" w:space="0" w:color="auto"/>
        <w:right w:val="none" w:sz="0" w:space="0" w:color="auto"/>
      </w:divBdr>
    </w:div>
    <w:div w:id="1721124213">
      <w:bodyDiv w:val="1"/>
      <w:marLeft w:val="0"/>
      <w:marRight w:val="0"/>
      <w:marTop w:val="0"/>
      <w:marBottom w:val="0"/>
      <w:divBdr>
        <w:top w:val="none" w:sz="0" w:space="0" w:color="auto"/>
        <w:left w:val="none" w:sz="0" w:space="0" w:color="auto"/>
        <w:bottom w:val="none" w:sz="0" w:space="0" w:color="auto"/>
        <w:right w:val="none" w:sz="0" w:space="0" w:color="auto"/>
      </w:divBdr>
    </w:div>
    <w:div w:id="188024416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internationaltransportforum.org/statistics/Method.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ternationaltransportforum.org/statistics/shortterm/index.html"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jari.kauppila@oec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mailto:edouard.chong@oecd.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2EC7-DFC0-4DD9-AF74-AF733965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B43FD8E9.dotm</Template>
  <TotalTime>5</TotalTime>
  <Pages>7</Pages>
  <Words>847</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6139</CharactersWithSpaces>
  <SharedDoc>false</SharedDoc>
  <HLinks>
    <vt:vector size="24" baseType="variant">
      <vt:variant>
        <vt:i4>7077922</vt:i4>
      </vt:variant>
      <vt:variant>
        <vt:i4>9</vt:i4>
      </vt:variant>
      <vt:variant>
        <vt:i4>0</vt:i4>
      </vt:variant>
      <vt:variant>
        <vt:i4>5</vt:i4>
      </vt:variant>
      <vt:variant>
        <vt:lpwstr>http://www.internationaltransportforum.org/statistics/shortterm/index.html</vt:lpwstr>
      </vt:variant>
      <vt:variant>
        <vt:lpwstr/>
      </vt:variant>
      <vt:variant>
        <vt:i4>1900654</vt:i4>
      </vt:variant>
      <vt:variant>
        <vt:i4>6</vt:i4>
      </vt:variant>
      <vt:variant>
        <vt:i4>0</vt:i4>
      </vt:variant>
      <vt:variant>
        <vt:i4>5</vt:i4>
      </vt:variant>
      <vt:variant>
        <vt:lpwstr>mailto:jari.kauppila@oecd.org</vt:lpwstr>
      </vt:variant>
      <vt:variant>
        <vt:lpwstr/>
      </vt:variant>
      <vt:variant>
        <vt:i4>5636143</vt:i4>
      </vt:variant>
      <vt:variant>
        <vt:i4>3</vt:i4>
      </vt:variant>
      <vt:variant>
        <vt:i4>0</vt:i4>
      </vt:variant>
      <vt:variant>
        <vt:i4>5</vt:i4>
      </vt:variant>
      <vt:variant>
        <vt:lpwstr>mailto:edouard.chong@oecd.org</vt:lpwstr>
      </vt:variant>
      <vt:variant>
        <vt:lpwstr/>
      </vt:variant>
      <vt:variant>
        <vt:i4>1900558</vt:i4>
      </vt:variant>
      <vt:variant>
        <vt:i4>0</vt:i4>
      </vt:variant>
      <vt:variant>
        <vt:i4>0</vt:i4>
      </vt:variant>
      <vt:variant>
        <vt:i4>5</vt:i4>
      </vt:variant>
      <vt:variant>
        <vt:lpwstr>http://www.internationaltransportforum.org/statistics/Method.pdf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Leal</dc:creator>
  <cp:lastModifiedBy>MAC ERLAINE Ronan, ITF/COM</cp:lastModifiedBy>
  <cp:revision>3</cp:revision>
  <cp:lastPrinted>2013-12-18T08:37:00Z</cp:lastPrinted>
  <dcterms:created xsi:type="dcterms:W3CDTF">2013-12-19T08:26:00Z</dcterms:created>
  <dcterms:modified xsi:type="dcterms:W3CDTF">2013-12-19T08:27:00Z</dcterms:modified>
</cp:coreProperties>
</file>